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FD29" w14:textId="77777777" w:rsidR="00007DB3" w:rsidRPr="00007DB3" w:rsidRDefault="00007DB3" w:rsidP="00007DB3">
      <w:pPr>
        <w:spacing w:line="240" w:lineRule="auto"/>
        <w:jc w:val="center"/>
        <w:rPr>
          <w:rFonts w:ascii="Times New Roman" w:eastAsia="Times New Roman" w:hAnsi="Times New Roman" w:cs="Times New Roman"/>
          <w:sz w:val="24"/>
          <w:szCs w:val="24"/>
          <w:lang w:val="en-US"/>
        </w:rPr>
      </w:pPr>
      <w:r w:rsidRPr="00007DB3">
        <w:rPr>
          <w:rFonts w:ascii="Times New Roman" w:eastAsia="Times New Roman" w:hAnsi="Times New Roman" w:cs="Times New Roman"/>
          <w:b/>
          <w:bCs/>
          <w:color w:val="000000"/>
          <w:sz w:val="24"/>
          <w:szCs w:val="24"/>
          <w:lang w:val="en-US"/>
        </w:rPr>
        <w:t>Commission on Graduate and Professional Studies and Policies</w:t>
      </w:r>
    </w:p>
    <w:p w14:paraId="6EC60268" w14:textId="77777777" w:rsidR="00007DB3" w:rsidRPr="00007DB3" w:rsidRDefault="00007DB3" w:rsidP="00007DB3">
      <w:pPr>
        <w:spacing w:line="240" w:lineRule="auto"/>
        <w:jc w:val="center"/>
        <w:rPr>
          <w:rFonts w:ascii="Times New Roman" w:eastAsia="Times New Roman" w:hAnsi="Times New Roman" w:cs="Times New Roman"/>
          <w:sz w:val="24"/>
          <w:szCs w:val="24"/>
          <w:lang w:val="en-US"/>
        </w:rPr>
      </w:pPr>
      <w:r w:rsidRPr="00007DB3">
        <w:rPr>
          <w:rFonts w:ascii="Times New Roman" w:eastAsia="Times New Roman" w:hAnsi="Times New Roman" w:cs="Times New Roman"/>
          <w:b/>
          <w:bCs/>
          <w:color w:val="000000"/>
          <w:sz w:val="24"/>
          <w:szCs w:val="24"/>
          <w:lang w:val="en-US"/>
        </w:rPr>
        <w:t>CGPS&amp;P Resolution 2021-2022D</w:t>
      </w:r>
    </w:p>
    <w:p w14:paraId="3D573AEE" w14:textId="3D2867F0" w:rsidR="00007DB3" w:rsidRPr="00007DB3" w:rsidRDefault="00007DB3" w:rsidP="00007DB3">
      <w:pPr>
        <w:spacing w:line="240" w:lineRule="auto"/>
        <w:jc w:val="center"/>
        <w:rPr>
          <w:rFonts w:ascii="Times New Roman" w:eastAsia="Times New Roman" w:hAnsi="Times New Roman" w:cs="Times New Roman"/>
          <w:sz w:val="24"/>
          <w:szCs w:val="24"/>
          <w:lang w:val="en-US"/>
        </w:rPr>
      </w:pPr>
      <w:r w:rsidRPr="009E2FA6">
        <w:rPr>
          <w:rFonts w:ascii="Times New Roman" w:eastAsia="Times New Roman" w:hAnsi="Times New Roman" w:cs="Times New Roman"/>
          <w:b/>
          <w:bCs/>
          <w:color w:val="000000"/>
          <w:sz w:val="24"/>
          <w:szCs w:val="24"/>
          <w:lang w:val="en-US"/>
        </w:rPr>
        <w:t xml:space="preserve">Resolution </w:t>
      </w:r>
      <w:r w:rsidR="009E2FA6" w:rsidRPr="009E2FA6">
        <w:rPr>
          <w:rFonts w:ascii="Times New Roman" w:eastAsia="Times New Roman" w:hAnsi="Times New Roman" w:cs="Times New Roman"/>
          <w:b/>
          <w:sz w:val="24"/>
          <w:szCs w:val="24"/>
        </w:rPr>
        <w:t>for Equitable and Cost-of-Living-Responsive Graduate Student Compensation</w:t>
      </w:r>
    </w:p>
    <w:p w14:paraId="567C8CB5"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032EEA34" w14:textId="4F412D3F"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First Reading by CGPS&amp;P</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 xml:space="preserve"> October 6, 2021</w:t>
      </w:r>
    </w:p>
    <w:p w14:paraId="39DB7654" w14:textId="2BD3F18E"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Staff Senate Review: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Completed by November 17, 2021</w:t>
      </w:r>
    </w:p>
    <w:p w14:paraId="33573927" w14:textId="64219133"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Faculty Senate Review: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Completed by November 17, 2021</w:t>
      </w:r>
    </w:p>
    <w:p w14:paraId="34386655" w14:textId="5342719A"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Undergraduate Student Senate Review: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Completed by November 17, 2021</w:t>
      </w:r>
    </w:p>
    <w:p w14:paraId="72BAAA8F" w14:textId="2710D62E"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A/P Faculty Senate Review: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Completed by November 17, 2021</w:t>
      </w:r>
    </w:p>
    <w:p w14:paraId="7E2E2E6D" w14:textId="4BF56B2B"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Approved by CGPS&amp;P</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November 22, 2021</w:t>
      </w:r>
    </w:p>
    <w:p w14:paraId="4CB7FCD0" w14:textId="77388B33"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First Reading by University Council: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February 7th, 2022</w:t>
      </w:r>
    </w:p>
    <w:p w14:paraId="496AA316" w14:textId="77777777"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Approved by University Council: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date</w:t>
      </w:r>
    </w:p>
    <w:p w14:paraId="1AFF4F92" w14:textId="77777777"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Approval by University President: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date</w:t>
      </w:r>
    </w:p>
    <w:p w14:paraId="4F9C5FF1" w14:textId="77777777"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Approved by Board of Visitors: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date</w:t>
      </w:r>
    </w:p>
    <w:p w14:paraId="3D197A77" w14:textId="59F8B862"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Effective: </w:t>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r>
      <w:r w:rsidRPr="00007DB3">
        <w:rPr>
          <w:rFonts w:ascii="Times New Roman" w:eastAsia="Times New Roman" w:hAnsi="Times New Roman" w:cs="Times New Roman"/>
          <w:color w:val="000000"/>
          <w:sz w:val="24"/>
          <w:szCs w:val="24"/>
          <w:lang w:val="en-US"/>
        </w:rPr>
        <w:tab/>
        <w:t xml:space="preserve">            upon approval</w:t>
      </w:r>
    </w:p>
    <w:p w14:paraId="157BFFE0"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19B72490" w14:textId="77777777" w:rsidR="002F4737" w:rsidRPr="00AA1F1C" w:rsidRDefault="002F4737" w:rsidP="002F4737">
      <w:pPr>
        <w:spacing w:before="240" w:after="240"/>
        <w:rPr>
          <w:rFonts w:ascii="Times New Roman" w:eastAsia="Times New Roman" w:hAnsi="Times New Roman" w:cs="Times New Roman"/>
          <w:sz w:val="24"/>
          <w:szCs w:val="24"/>
        </w:rPr>
      </w:pPr>
      <w:r w:rsidRPr="00AA1F1C">
        <w:rPr>
          <w:rFonts w:ascii="Times New Roman" w:eastAsia="Times New Roman" w:hAnsi="Times New Roman" w:cs="Times New Roman"/>
          <w:b/>
          <w:sz w:val="24"/>
          <w:szCs w:val="24"/>
        </w:rPr>
        <w:t>WHEREAS,</w:t>
      </w:r>
      <w:r w:rsidRPr="00AA1F1C">
        <w:rPr>
          <w:rFonts w:ascii="Times New Roman" w:eastAsia="Times New Roman" w:hAnsi="Times New Roman" w:cs="Times New Roman"/>
          <w:sz w:val="24"/>
          <w:szCs w:val="24"/>
        </w:rPr>
        <w:t xml:space="preserve"> graduate students on assistantships (GTAs, GAs, and GRAs) are ostensibly paid to work 20 hours per week, but many graduate students exceed 20-hour work weeks while teaching classes, realizing projects, performing experiments, and publishing papers; immoderate amounts of graduate student labor on behalf of the university are thus hidden and unpaid; and</w:t>
      </w:r>
    </w:p>
    <w:p w14:paraId="22026635" w14:textId="77777777" w:rsidR="002F4737" w:rsidRPr="00AA1F1C" w:rsidRDefault="002F4737" w:rsidP="002F4737">
      <w:pPr>
        <w:spacing w:before="240" w:after="240"/>
        <w:rPr>
          <w:rFonts w:ascii="Times New Roman" w:eastAsia="Times New Roman" w:hAnsi="Times New Roman" w:cs="Times New Roman"/>
          <w:sz w:val="24"/>
          <w:szCs w:val="24"/>
        </w:rPr>
      </w:pPr>
      <w:r w:rsidRPr="00AA1F1C">
        <w:rPr>
          <w:rFonts w:ascii="Times New Roman" w:eastAsia="Times New Roman" w:hAnsi="Times New Roman" w:cs="Times New Roman"/>
          <w:b/>
          <w:sz w:val="24"/>
          <w:szCs w:val="24"/>
        </w:rPr>
        <w:t>WHEREAS</w:t>
      </w:r>
      <w:r w:rsidRPr="00AA1F1C">
        <w:rPr>
          <w:rFonts w:ascii="Times New Roman" w:eastAsia="Times New Roman" w:hAnsi="Times New Roman" w:cs="Times New Roman"/>
          <w:sz w:val="24"/>
          <w:szCs w:val="24"/>
        </w:rPr>
        <w:t xml:space="preserve">, the </w:t>
      </w:r>
      <w:hyperlink r:id="rId7">
        <w:r w:rsidRPr="00AA1F1C">
          <w:rPr>
            <w:rFonts w:ascii="Times New Roman" w:eastAsia="Times New Roman" w:hAnsi="Times New Roman" w:cs="Times New Roman"/>
            <w:color w:val="1155CC"/>
            <w:sz w:val="24"/>
            <w:szCs w:val="24"/>
            <w:u w:val="single"/>
          </w:rPr>
          <w:t>2021 Graduate Student Assembly Cost-of-Living Survey</w:t>
        </w:r>
      </w:hyperlink>
      <w:r w:rsidRPr="00AA1F1C">
        <w:rPr>
          <w:rFonts w:ascii="Times New Roman" w:eastAsia="Times New Roman" w:hAnsi="Times New Roman" w:cs="Times New Roman"/>
          <w:sz w:val="24"/>
          <w:szCs w:val="24"/>
        </w:rPr>
        <w:t xml:space="preserve"> (Appendix 1) found that 72% of graduate students were left with only $20 per month after basic living expenses were paid. Additionally, at least 1 in 5 graduate students work over 20 hours a week in other jobs to make ends meet; and</w:t>
      </w:r>
    </w:p>
    <w:p w14:paraId="5117B414" w14:textId="77777777" w:rsidR="002F4737" w:rsidRPr="00AA1F1C" w:rsidRDefault="002F4737" w:rsidP="002F4737">
      <w:pPr>
        <w:spacing w:before="240" w:after="240"/>
        <w:rPr>
          <w:rFonts w:ascii="Times New Roman" w:eastAsia="Times New Roman" w:hAnsi="Times New Roman" w:cs="Times New Roman"/>
          <w:sz w:val="24"/>
          <w:szCs w:val="24"/>
        </w:rPr>
      </w:pPr>
      <w:r w:rsidRPr="00AA1F1C">
        <w:rPr>
          <w:rFonts w:ascii="Times New Roman" w:eastAsia="Times New Roman" w:hAnsi="Times New Roman" w:cs="Times New Roman"/>
          <w:b/>
          <w:sz w:val="24"/>
          <w:szCs w:val="24"/>
        </w:rPr>
        <w:t>WHEREAS</w:t>
      </w:r>
      <w:r w:rsidRPr="00AA1F1C">
        <w:rPr>
          <w:rFonts w:ascii="Times New Roman" w:eastAsia="Times New Roman" w:hAnsi="Times New Roman" w:cs="Times New Roman"/>
          <w:sz w:val="24"/>
          <w:szCs w:val="24"/>
        </w:rPr>
        <w:t xml:space="preserve">, the </w:t>
      </w:r>
      <w:hyperlink r:id="rId8">
        <w:r w:rsidRPr="00AA1F1C">
          <w:rPr>
            <w:rFonts w:ascii="Times New Roman" w:eastAsia="Times New Roman" w:hAnsi="Times New Roman" w:cs="Times New Roman"/>
            <w:color w:val="1155CC"/>
            <w:sz w:val="24"/>
            <w:szCs w:val="24"/>
            <w:u w:val="single"/>
          </w:rPr>
          <w:t>2019 Virginia Tech Food Access and Security Study</w:t>
        </w:r>
      </w:hyperlink>
      <w:r w:rsidRPr="00AA1F1C">
        <w:rPr>
          <w:rFonts w:ascii="Times New Roman" w:eastAsia="Times New Roman" w:hAnsi="Times New Roman" w:cs="Times New Roman"/>
          <w:sz w:val="24"/>
          <w:szCs w:val="24"/>
        </w:rPr>
        <w:t xml:space="preserve"> (Appendix 1) survey data have indicated that many graduate students face food insecurity: Domestic student respondents face 35% food insecurity rates while international students face 49% food insecurity rates; and </w:t>
      </w:r>
    </w:p>
    <w:p w14:paraId="15643F48" w14:textId="77777777" w:rsidR="002F4737" w:rsidRPr="00AA1F1C" w:rsidRDefault="002F4737" w:rsidP="002F4737">
      <w:pPr>
        <w:spacing w:before="240" w:after="240"/>
        <w:rPr>
          <w:rFonts w:ascii="Times New Roman" w:eastAsia="Times New Roman" w:hAnsi="Times New Roman" w:cs="Times New Roman"/>
          <w:sz w:val="24"/>
          <w:szCs w:val="24"/>
        </w:rPr>
      </w:pPr>
      <w:r w:rsidRPr="00AA1F1C">
        <w:rPr>
          <w:rFonts w:ascii="Times New Roman" w:eastAsia="Times New Roman" w:hAnsi="Times New Roman" w:cs="Times New Roman"/>
          <w:b/>
          <w:sz w:val="24"/>
          <w:szCs w:val="24"/>
        </w:rPr>
        <w:t xml:space="preserve">WHEREAS, </w:t>
      </w:r>
      <w:r w:rsidRPr="00AA1F1C">
        <w:rPr>
          <w:rFonts w:ascii="Times New Roman" w:eastAsia="Times New Roman" w:hAnsi="Times New Roman" w:cs="Times New Roman"/>
          <w:sz w:val="24"/>
          <w:szCs w:val="24"/>
        </w:rPr>
        <w:t>these surveys indicate that the current compensation plan is insufficient to meet the local cost of living, and students cannot afford basic needs like food, medicine, and housing without working additional jobs throughout the summer and the academic year – leading to obligations that detract from their commitments to the university; and</w:t>
      </w:r>
    </w:p>
    <w:p w14:paraId="41DC62BB" w14:textId="77777777" w:rsidR="002F4737" w:rsidRPr="00AA1F1C" w:rsidRDefault="002F4737" w:rsidP="002F4737">
      <w:pPr>
        <w:spacing w:before="240" w:after="240"/>
        <w:rPr>
          <w:rFonts w:ascii="Times New Roman" w:eastAsia="Times New Roman" w:hAnsi="Times New Roman" w:cs="Times New Roman"/>
          <w:sz w:val="24"/>
          <w:szCs w:val="24"/>
        </w:rPr>
      </w:pPr>
      <w:r w:rsidRPr="00AA1F1C">
        <w:rPr>
          <w:rFonts w:ascii="Times New Roman" w:eastAsia="Times New Roman" w:hAnsi="Times New Roman" w:cs="Times New Roman"/>
          <w:b/>
          <w:sz w:val="24"/>
          <w:szCs w:val="24"/>
        </w:rPr>
        <w:t>WHEREAS</w:t>
      </w:r>
      <w:r w:rsidRPr="00AA1F1C">
        <w:rPr>
          <w:rFonts w:ascii="Times New Roman" w:eastAsia="Times New Roman" w:hAnsi="Times New Roman" w:cs="Times New Roman"/>
          <w:sz w:val="24"/>
          <w:szCs w:val="24"/>
        </w:rPr>
        <w:t>, these surveys do not reflect the additional and ongoing burden imposed by the COVID-19 pandemic: ascending housing prices in Blacksburg and surrounding communities along with other inflationary pressures (see Appendix 2), which have further driven graduate students into poverty and have had especially detrimental implications for international graduate students and graduate students from historically marginalized backgrounds, constituting an equity issue; and</w:t>
      </w:r>
    </w:p>
    <w:p w14:paraId="3EC474E7" w14:textId="77777777" w:rsidR="002F4737" w:rsidRPr="002F4737" w:rsidRDefault="002F4737" w:rsidP="002F4737">
      <w:pPr>
        <w:spacing w:before="240" w:after="240"/>
        <w:rPr>
          <w:rFonts w:ascii="Times New Roman" w:eastAsia="Times New Roman" w:hAnsi="Times New Roman" w:cs="Times New Roman"/>
          <w:sz w:val="24"/>
          <w:szCs w:val="24"/>
        </w:rPr>
      </w:pPr>
      <w:r w:rsidRPr="00AA1F1C">
        <w:rPr>
          <w:rFonts w:ascii="Times New Roman" w:eastAsia="Times New Roman" w:hAnsi="Times New Roman" w:cs="Times New Roman"/>
          <w:b/>
          <w:sz w:val="24"/>
          <w:szCs w:val="24"/>
        </w:rPr>
        <w:lastRenderedPageBreak/>
        <w:t>WHEREAS,</w:t>
      </w:r>
      <w:r w:rsidRPr="00AA1F1C">
        <w:rPr>
          <w:rFonts w:ascii="Times New Roman" w:eastAsia="Times New Roman" w:hAnsi="Times New Roman" w:cs="Times New Roman"/>
          <w:sz w:val="24"/>
          <w:szCs w:val="24"/>
        </w:rPr>
        <w:t xml:space="preserve"> the </w:t>
      </w:r>
      <w:hyperlink r:id="rId9">
        <w:r w:rsidRPr="002F4737">
          <w:rPr>
            <w:rFonts w:ascii="Times New Roman" w:eastAsia="Times New Roman" w:hAnsi="Times New Roman" w:cs="Times New Roman"/>
            <w:color w:val="1155CC"/>
            <w:sz w:val="24"/>
            <w:szCs w:val="24"/>
            <w:u w:val="single"/>
          </w:rPr>
          <w:t>2020 Graduate Education Task Force report</w:t>
        </w:r>
      </w:hyperlink>
      <w:r w:rsidRPr="002F4737">
        <w:rPr>
          <w:rFonts w:ascii="Times New Roman" w:eastAsia="Times New Roman" w:hAnsi="Times New Roman" w:cs="Times New Roman"/>
          <w:sz w:val="24"/>
          <w:szCs w:val="24"/>
        </w:rPr>
        <w:t xml:space="preserve"> (Appendix 1) found that graduate student stipends at Virginia Tech also fall short of our aspirational peers and negatively impacts our ability to recruit strong students to our institution. The minimum stipend values at peer institutions were only $144 below the average Virginia Tech stipend for GTAs. When students are weighing options between different R1 offers, the stipend is a key deciding factor. Virginia Tech currently has one of the smallest overall enrollments of graduate students – 55% of our aspirational peers; and</w:t>
      </w:r>
    </w:p>
    <w:p w14:paraId="11C59B03" w14:textId="77777777" w:rsidR="002F4737" w:rsidRPr="002F4737" w:rsidRDefault="002F4737" w:rsidP="002F4737">
      <w:pPr>
        <w:spacing w:before="240" w:after="240"/>
        <w:rPr>
          <w:rFonts w:ascii="Times New Roman" w:eastAsia="Times New Roman" w:hAnsi="Times New Roman" w:cs="Times New Roman"/>
          <w:sz w:val="24"/>
          <w:szCs w:val="24"/>
        </w:rPr>
      </w:pPr>
      <w:r w:rsidRPr="002F4737">
        <w:rPr>
          <w:rFonts w:ascii="Times New Roman" w:eastAsia="Times New Roman" w:hAnsi="Times New Roman" w:cs="Times New Roman"/>
          <w:b/>
          <w:sz w:val="24"/>
          <w:szCs w:val="24"/>
        </w:rPr>
        <w:t xml:space="preserve">WHEREAS, </w:t>
      </w:r>
      <w:r w:rsidRPr="002F4737">
        <w:rPr>
          <w:rFonts w:ascii="Times New Roman" w:eastAsia="Times New Roman" w:hAnsi="Times New Roman" w:cs="Times New Roman"/>
          <w:sz w:val="24"/>
          <w:szCs w:val="24"/>
        </w:rPr>
        <w:t>the 2020 Graduate Education Task Force report recommended that in order to catch up or excel beyond our aspirational peer institutions in recruitment and retention, Virginia Tech needs to: 1) increase baseline stipends for graduate teaching and research assistantships; 2) annually compare stipends to aspirational peers by discipline; 3) incentivize colleges to maintain competitive rates; and 4) develop standard phrasing for departments to properly convey their intention to employ graduate students for multi-year periods; and</w:t>
      </w:r>
    </w:p>
    <w:p w14:paraId="64D87471" w14:textId="77777777" w:rsidR="002F4737" w:rsidRPr="002F4737" w:rsidRDefault="002F4737" w:rsidP="002F4737">
      <w:pPr>
        <w:spacing w:before="240" w:after="240"/>
        <w:rPr>
          <w:rFonts w:ascii="Times New Roman" w:eastAsia="Times New Roman" w:hAnsi="Times New Roman" w:cs="Times New Roman"/>
          <w:sz w:val="24"/>
          <w:szCs w:val="24"/>
        </w:rPr>
      </w:pPr>
      <w:r w:rsidRPr="002F4737">
        <w:rPr>
          <w:rFonts w:ascii="Times New Roman" w:eastAsia="Times New Roman" w:hAnsi="Times New Roman" w:cs="Times New Roman"/>
          <w:b/>
          <w:sz w:val="24"/>
          <w:szCs w:val="24"/>
        </w:rPr>
        <w:t>WHEREAS,</w:t>
      </w:r>
      <w:r w:rsidRPr="002F4737">
        <w:rPr>
          <w:rFonts w:ascii="Times New Roman" w:eastAsia="Times New Roman" w:hAnsi="Times New Roman" w:cs="Times New Roman"/>
          <w:sz w:val="24"/>
          <w:szCs w:val="24"/>
        </w:rPr>
        <w:t xml:space="preserve"> provision of sufficient financial support in the form of an assistantship stipend that covers basic living expenses – continually reevaluated on the basis of the local living wage – and that includes additional support in the form of tuition remission and, at least, partial fee remission, is necessary to reduce the financial burden placed on graduate students via student loans or excessive workloads; and </w:t>
      </w:r>
    </w:p>
    <w:p w14:paraId="5EF7EF49" w14:textId="77777777" w:rsidR="002F4737" w:rsidRPr="002F4737" w:rsidRDefault="002F4737" w:rsidP="002F4737">
      <w:pPr>
        <w:spacing w:before="240" w:after="240"/>
        <w:rPr>
          <w:rFonts w:ascii="Times New Roman" w:eastAsia="Times New Roman" w:hAnsi="Times New Roman" w:cs="Times New Roman"/>
          <w:sz w:val="24"/>
          <w:szCs w:val="24"/>
        </w:rPr>
      </w:pPr>
      <w:r w:rsidRPr="002F4737">
        <w:rPr>
          <w:rFonts w:ascii="Times New Roman" w:eastAsia="Times New Roman" w:hAnsi="Times New Roman" w:cs="Times New Roman"/>
          <w:b/>
          <w:sz w:val="24"/>
          <w:szCs w:val="24"/>
        </w:rPr>
        <w:t xml:space="preserve">WHEREAS, </w:t>
      </w:r>
      <w:r w:rsidRPr="002F4737">
        <w:rPr>
          <w:rFonts w:ascii="Times New Roman" w:eastAsia="Times New Roman" w:hAnsi="Times New Roman" w:cs="Times New Roman"/>
          <w:sz w:val="24"/>
          <w:szCs w:val="24"/>
        </w:rPr>
        <w:t xml:space="preserve">thus, more time is opened for the pursuit of scholarship, service, institutional continuity, and extramural funds that strengthens the educational and research missions stated by the Virginia Tech Graduate School and Board of Visitors. Additionally, a compensation package that alleviates many or most of the financial burdens placed upon graduate and professional students and secures sufficient financial support for multi-year periods advances the university’s ability to recruit and adequately support top research-based graduate students; </w:t>
      </w:r>
    </w:p>
    <w:p w14:paraId="4F859934"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53533D53" w14:textId="55FD2357" w:rsidR="00007DB3" w:rsidRDefault="002F4737" w:rsidP="00007DB3">
      <w:pPr>
        <w:spacing w:line="240" w:lineRule="auto"/>
        <w:rPr>
          <w:rFonts w:ascii="Times New Roman" w:eastAsia="Times New Roman" w:hAnsi="Times New Roman" w:cs="Times New Roman"/>
          <w:color w:val="000000"/>
          <w:sz w:val="24"/>
          <w:szCs w:val="24"/>
          <w:lang w:val="en-US"/>
        </w:rPr>
      </w:pPr>
      <w:r w:rsidRPr="002F4737">
        <w:rPr>
          <w:rFonts w:ascii="Times New Roman" w:eastAsia="Times New Roman" w:hAnsi="Times New Roman" w:cs="Times New Roman"/>
          <w:b/>
          <w:sz w:val="24"/>
          <w:szCs w:val="24"/>
        </w:rPr>
        <w:t>NOW, THEREFORE, BE IT RESOLVED</w:t>
      </w:r>
      <w:r w:rsidRPr="002F4737">
        <w:rPr>
          <w:rFonts w:ascii="Times New Roman" w:eastAsia="Times New Roman" w:hAnsi="Times New Roman" w:cs="Times New Roman"/>
          <w:sz w:val="24"/>
          <w:szCs w:val="24"/>
        </w:rPr>
        <w:t xml:space="preserve"> that the university commits to establishing a strategic goal and formulating a viable funding plan before the 2023-2024 school year for providing financial support to graduate students that recognizes the particular challenges faced by international and historically marginalized students, that sufficiently meets or exceeds the local cost-of-living for the geographic region in which they are studying, and that accounts for assistantship, tuition and fee remission, and health insurance; and</w:t>
      </w:r>
    </w:p>
    <w:p w14:paraId="6E32AF9B" w14:textId="75D95A52" w:rsidR="002F4737" w:rsidRDefault="002F4737" w:rsidP="00007DB3">
      <w:pPr>
        <w:spacing w:line="240" w:lineRule="auto"/>
        <w:rPr>
          <w:rFonts w:ascii="Times New Roman" w:eastAsia="Times New Roman" w:hAnsi="Times New Roman" w:cs="Times New Roman"/>
          <w:color w:val="000000"/>
          <w:sz w:val="24"/>
          <w:szCs w:val="24"/>
          <w:lang w:val="en-US"/>
        </w:rPr>
      </w:pPr>
    </w:p>
    <w:p w14:paraId="0F2AC054" w14:textId="77777777" w:rsidR="002F4737" w:rsidRPr="002F4737" w:rsidRDefault="002F4737" w:rsidP="002F4737">
      <w:pPr>
        <w:spacing w:before="240" w:after="240"/>
        <w:rPr>
          <w:rFonts w:ascii="Times New Roman" w:eastAsia="Times New Roman" w:hAnsi="Times New Roman" w:cs="Times New Roman"/>
          <w:sz w:val="24"/>
          <w:szCs w:val="24"/>
        </w:rPr>
      </w:pPr>
      <w:r w:rsidRPr="002F4737">
        <w:rPr>
          <w:rFonts w:ascii="Times New Roman" w:eastAsia="Times New Roman" w:hAnsi="Times New Roman" w:cs="Times New Roman"/>
          <w:b/>
          <w:sz w:val="24"/>
          <w:szCs w:val="24"/>
        </w:rPr>
        <w:t>BE IT FURTHER RESOLVED</w:t>
      </w:r>
      <w:r w:rsidRPr="002F4737">
        <w:rPr>
          <w:rFonts w:ascii="Times New Roman" w:eastAsia="Times New Roman" w:hAnsi="Times New Roman" w:cs="Times New Roman"/>
          <w:sz w:val="24"/>
          <w:szCs w:val="24"/>
        </w:rPr>
        <w:t xml:space="preserve"> that Virginia Tech affirms the findings of the 2020 Graduate Education Task Force report regarding assistantship compensation goals (see Appendix 1) and will strive to become a leader among our aspirational land-grant peers in offering equitable and responsive graduate student compensation guided by cost-of-living. To achieve this aim, university leadership will appoint a task force consisting of administrative context experts, faculty, and a substantive representation of graduate students. The task force will be charged to </w:t>
      </w:r>
      <w:r w:rsidRPr="002F4737">
        <w:rPr>
          <w:rFonts w:ascii="Times New Roman" w:eastAsia="Times New Roman" w:hAnsi="Times New Roman" w:cs="Times New Roman"/>
          <w:sz w:val="24"/>
          <w:szCs w:val="24"/>
        </w:rPr>
        <w:lastRenderedPageBreak/>
        <w:t>review the analysis and findings regarding financial support of graduate students contained in the 2020 Report and update as necessary. The task force will draft a report and recommendations by December 31, 2022 for providing assistantship stipends and other financial support that sufficiently meets or exceeds the local cost-of-living and that minimizes educational debt; and</w:t>
      </w:r>
    </w:p>
    <w:p w14:paraId="76211FCB" w14:textId="77777777" w:rsidR="002F4737" w:rsidRDefault="002F4737" w:rsidP="002F4737">
      <w:pPr>
        <w:spacing w:before="240" w:after="240"/>
        <w:rPr>
          <w:rFonts w:ascii="Times New Roman" w:eastAsia="Times New Roman" w:hAnsi="Times New Roman" w:cs="Times New Roman"/>
          <w:sz w:val="24"/>
          <w:szCs w:val="24"/>
        </w:rPr>
      </w:pPr>
      <w:r w:rsidRPr="002F4737">
        <w:rPr>
          <w:rFonts w:ascii="Times New Roman" w:eastAsia="Times New Roman" w:hAnsi="Times New Roman" w:cs="Times New Roman"/>
          <w:b/>
          <w:sz w:val="24"/>
          <w:szCs w:val="24"/>
        </w:rPr>
        <w:t xml:space="preserve">BE IT FINALLY RESOLVED </w:t>
      </w:r>
      <w:r w:rsidRPr="002F4737">
        <w:rPr>
          <w:rFonts w:ascii="Times New Roman" w:eastAsia="Times New Roman" w:hAnsi="Times New Roman" w:cs="Times New Roman"/>
          <w:sz w:val="24"/>
          <w:szCs w:val="24"/>
        </w:rPr>
        <w:t>that Virginia Tech recognizes and values the</w:t>
      </w:r>
      <w:r w:rsidRPr="002F4737">
        <w:rPr>
          <w:rFonts w:ascii="Times New Roman" w:eastAsia="Times New Roman" w:hAnsi="Times New Roman" w:cs="Times New Roman"/>
          <w:b/>
          <w:sz w:val="24"/>
          <w:szCs w:val="24"/>
        </w:rPr>
        <w:t xml:space="preserve"> </w:t>
      </w:r>
      <w:r w:rsidRPr="002F4737">
        <w:rPr>
          <w:rFonts w:ascii="Times New Roman" w:eastAsia="Times New Roman" w:hAnsi="Times New Roman" w:cs="Times New Roman"/>
          <w:sz w:val="24"/>
          <w:szCs w:val="24"/>
        </w:rPr>
        <w:t>full extent</w:t>
      </w:r>
      <w:r w:rsidRPr="002F4737">
        <w:rPr>
          <w:rFonts w:ascii="Times New Roman" w:eastAsia="Times New Roman" w:hAnsi="Times New Roman" w:cs="Times New Roman"/>
          <w:b/>
          <w:sz w:val="24"/>
          <w:szCs w:val="24"/>
        </w:rPr>
        <w:t xml:space="preserve"> </w:t>
      </w:r>
      <w:r w:rsidRPr="002F4737">
        <w:rPr>
          <w:rFonts w:ascii="Times New Roman" w:eastAsia="Times New Roman" w:hAnsi="Times New Roman" w:cs="Times New Roman"/>
          <w:sz w:val="24"/>
          <w:szCs w:val="24"/>
        </w:rPr>
        <w:t>of graduate student contributions to the university community and commits to actively pursuing measures that will alleviate the current hardships and shortcomings in food security, healthcare, and financial stability of its graduate students.</w:t>
      </w:r>
    </w:p>
    <w:p w14:paraId="2E6AE570" w14:textId="77777777" w:rsidR="002F4737" w:rsidRDefault="002F4737" w:rsidP="00007DB3">
      <w:pPr>
        <w:spacing w:line="240" w:lineRule="auto"/>
        <w:rPr>
          <w:rFonts w:ascii="Times New Roman" w:eastAsia="Times New Roman" w:hAnsi="Times New Roman" w:cs="Times New Roman"/>
          <w:color w:val="000000"/>
          <w:sz w:val="24"/>
          <w:szCs w:val="24"/>
          <w:lang w:val="en-US"/>
        </w:rPr>
      </w:pPr>
    </w:p>
    <w:p w14:paraId="0565DA20" w14:textId="2F6DAC75" w:rsidR="00007DB3" w:rsidRDefault="00007DB3" w:rsidP="00007DB3">
      <w:pPr>
        <w:spacing w:line="240" w:lineRule="auto"/>
        <w:rPr>
          <w:rFonts w:ascii="Times New Roman" w:eastAsia="Times New Roman" w:hAnsi="Times New Roman" w:cs="Times New Roman"/>
          <w:color w:val="000000"/>
          <w:sz w:val="24"/>
          <w:szCs w:val="24"/>
          <w:lang w:val="en-US"/>
        </w:rPr>
      </w:pPr>
    </w:p>
    <w:p w14:paraId="1D7DCC23" w14:textId="7E0D2710" w:rsidR="00007DB3" w:rsidRDefault="00007DB3" w:rsidP="00007DB3">
      <w:pPr>
        <w:spacing w:line="240" w:lineRule="auto"/>
        <w:rPr>
          <w:rFonts w:ascii="Times New Roman" w:eastAsia="Times New Roman" w:hAnsi="Times New Roman" w:cs="Times New Roman"/>
          <w:color w:val="000000"/>
          <w:sz w:val="24"/>
          <w:szCs w:val="24"/>
          <w:lang w:val="en-US"/>
        </w:rPr>
      </w:pPr>
    </w:p>
    <w:p w14:paraId="59A09489" w14:textId="006F3233" w:rsidR="00007DB3" w:rsidRDefault="00007DB3" w:rsidP="00007DB3">
      <w:pPr>
        <w:spacing w:line="240" w:lineRule="auto"/>
        <w:rPr>
          <w:rFonts w:ascii="Times New Roman" w:eastAsia="Times New Roman" w:hAnsi="Times New Roman" w:cs="Times New Roman"/>
          <w:color w:val="000000"/>
          <w:sz w:val="24"/>
          <w:szCs w:val="24"/>
          <w:lang w:val="en-US"/>
        </w:rPr>
      </w:pPr>
    </w:p>
    <w:p w14:paraId="44E58D9E" w14:textId="3576BDFE" w:rsidR="00007DB3" w:rsidRDefault="00007DB3" w:rsidP="00007DB3">
      <w:pPr>
        <w:spacing w:line="240" w:lineRule="auto"/>
        <w:rPr>
          <w:rFonts w:ascii="Times New Roman" w:eastAsia="Times New Roman" w:hAnsi="Times New Roman" w:cs="Times New Roman"/>
          <w:color w:val="000000"/>
          <w:sz w:val="24"/>
          <w:szCs w:val="24"/>
          <w:lang w:val="en-US"/>
        </w:rPr>
      </w:pPr>
    </w:p>
    <w:p w14:paraId="2763852D" w14:textId="0AEF9845" w:rsidR="00007DB3" w:rsidRDefault="00007DB3" w:rsidP="00007DB3">
      <w:pPr>
        <w:spacing w:line="240" w:lineRule="auto"/>
        <w:rPr>
          <w:rFonts w:ascii="Times New Roman" w:eastAsia="Times New Roman" w:hAnsi="Times New Roman" w:cs="Times New Roman"/>
          <w:color w:val="000000"/>
          <w:sz w:val="24"/>
          <w:szCs w:val="24"/>
          <w:lang w:val="en-US"/>
        </w:rPr>
      </w:pPr>
    </w:p>
    <w:p w14:paraId="24B13EA6" w14:textId="13D3477F" w:rsidR="002F4737" w:rsidRDefault="002F4737" w:rsidP="00007DB3">
      <w:pPr>
        <w:spacing w:line="240" w:lineRule="auto"/>
        <w:rPr>
          <w:rFonts w:ascii="Times New Roman" w:eastAsia="Times New Roman" w:hAnsi="Times New Roman" w:cs="Times New Roman"/>
          <w:color w:val="000000"/>
          <w:sz w:val="24"/>
          <w:szCs w:val="24"/>
          <w:lang w:val="en-US"/>
        </w:rPr>
      </w:pPr>
    </w:p>
    <w:p w14:paraId="2B6A7DEC" w14:textId="662AA766" w:rsidR="002F4737" w:rsidRDefault="002F4737" w:rsidP="00007DB3">
      <w:pPr>
        <w:spacing w:line="240" w:lineRule="auto"/>
        <w:rPr>
          <w:rFonts w:ascii="Times New Roman" w:eastAsia="Times New Roman" w:hAnsi="Times New Roman" w:cs="Times New Roman"/>
          <w:color w:val="000000"/>
          <w:sz w:val="24"/>
          <w:szCs w:val="24"/>
          <w:lang w:val="en-US"/>
        </w:rPr>
      </w:pPr>
    </w:p>
    <w:p w14:paraId="0D64DE62" w14:textId="7B413D1A" w:rsidR="002F4737" w:rsidRDefault="002F4737" w:rsidP="00007DB3">
      <w:pPr>
        <w:spacing w:line="240" w:lineRule="auto"/>
        <w:rPr>
          <w:rFonts w:ascii="Times New Roman" w:eastAsia="Times New Roman" w:hAnsi="Times New Roman" w:cs="Times New Roman"/>
          <w:color w:val="000000"/>
          <w:sz w:val="24"/>
          <w:szCs w:val="24"/>
          <w:lang w:val="en-US"/>
        </w:rPr>
      </w:pPr>
    </w:p>
    <w:p w14:paraId="10D2194A" w14:textId="77777777" w:rsidR="002F4737" w:rsidRDefault="002F4737" w:rsidP="00007DB3">
      <w:pPr>
        <w:spacing w:line="240" w:lineRule="auto"/>
        <w:rPr>
          <w:rFonts w:ascii="Times New Roman" w:eastAsia="Times New Roman" w:hAnsi="Times New Roman" w:cs="Times New Roman"/>
          <w:color w:val="000000"/>
          <w:sz w:val="24"/>
          <w:szCs w:val="24"/>
          <w:lang w:val="en-US"/>
        </w:rPr>
      </w:pPr>
    </w:p>
    <w:p w14:paraId="7B1987FA" w14:textId="1D827D74" w:rsidR="00007DB3" w:rsidRDefault="00007DB3" w:rsidP="00007DB3">
      <w:pPr>
        <w:spacing w:line="240" w:lineRule="auto"/>
        <w:rPr>
          <w:rFonts w:ascii="Times New Roman" w:eastAsia="Times New Roman" w:hAnsi="Times New Roman" w:cs="Times New Roman"/>
          <w:color w:val="000000"/>
          <w:sz w:val="24"/>
          <w:szCs w:val="24"/>
          <w:lang w:val="en-US"/>
        </w:rPr>
      </w:pPr>
    </w:p>
    <w:p w14:paraId="321399E4"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3B648666" w14:textId="441BCED0"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w:t>
      </w:r>
    </w:p>
    <w:p w14:paraId="7EA5FA33" w14:textId="77777777" w:rsidR="006E2A0C" w:rsidRDefault="00007DB3" w:rsidP="006E2A0C">
      <w:r w:rsidRPr="00007DB3">
        <w:rPr>
          <w:rFonts w:ascii="Times New Roman" w:eastAsia="Times New Roman" w:hAnsi="Times New Roman" w:cs="Times New Roman"/>
          <w:b/>
          <w:bCs/>
          <w:color w:val="000000"/>
          <w:sz w:val="24"/>
          <w:szCs w:val="24"/>
          <w:lang w:val="en-US"/>
        </w:rPr>
        <w:t>Appendix 1: Supporting Materials</w:t>
      </w:r>
      <w:r w:rsidRPr="00007DB3">
        <w:rPr>
          <w:rFonts w:ascii="Times New Roman" w:eastAsia="Times New Roman" w:hAnsi="Times New Roman" w:cs="Times New Roman"/>
          <w:color w:val="000000"/>
          <w:sz w:val="24"/>
          <w:szCs w:val="24"/>
          <w:lang w:val="en-US"/>
        </w:rPr>
        <w:br/>
      </w:r>
      <w:r w:rsidRPr="00007DB3">
        <w:rPr>
          <w:rFonts w:ascii="Times New Roman" w:eastAsia="Times New Roman" w:hAnsi="Times New Roman" w:cs="Times New Roman"/>
          <w:color w:val="000000"/>
          <w:sz w:val="24"/>
          <w:szCs w:val="24"/>
          <w:lang w:val="en-US"/>
        </w:rPr>
        <w:br/>
      </w:r>
    </w:p>
    <w:p w14:paraId="3BEAAA9D" w14:textId="77777777" w:rsidR="006E2A0C" w:rsidRPr="006E2A0C" w:rsidRDefault="00276FA8" w:rsidP="006E2A0C">
      <w:pPr>
        <w:spacing w:before="240" w:after="240"/>
        <w:rPr>
          <w:rFonts w:ascii="Times New Roman" w:eastAsia="Times New Roman" w:hAnsi="Times New Roman" w:cs="Times New Roman"/>
          <w:sz w:val="24"/>
          <w:szCs w:val="24"/>
        </w:rPr>
      </w:pPr>
      <w:hyperlink r:id="rId10">
        <w:r w:rsidR="006E2A0C" w:rsidRPr="006E2A0C">
          <w:rPr>
            <w:rFonts w:ascii="Times New Roman" w:eastAsia="Times New Roman" w:hAnsi="Times New Roman" w:cs="Times New Roman"/>
            <w:b/>
            <w:color w:val="1155CC"/>
            <w:sz w:val="24"/>
            <w:szCs w:val="24"/>
            <w:u w:val="single"/>
          </w:rPr>
          <w:t>The 2021 Graduate Student Assembly Cost-of-Living Survey</w:t>
        </w:r>
      </w:hyperlink>
      <w:r w:rsidR="006E2A0C" w:rsidRPr="006E2A0C">
        <w:rPr>
          <w:rFonts w:ascii="Times New Roman" w:eastAsia="Times New Roman" w:hAnsi="Times New Roman" w:cs="Times New Roman"/>
          <w:b/>
          <w:sz w:val="24"/>
          <w:szCs w:val="24"/>
        </w:rPr>
        <w:t xml:space="preserve"> </w:t>
      </w:r>
      <w:r w:rsidR="006E2A0C" w:rsidRPr="006E2A0C">
        <w:rPr>
          <w:rFonts w:ascii="Times New Roman" w:eastAsia="Times New Roman" w:hAnsi="Times New Roman" w:cs="Times New Roman"/>
          <w:sz w:val="24"/>
          <w:szCs w:val="24"/>
        </w:rPr>
        <w:t xml:space="preserve">reports the average take-home compensation and recommendations contained within the executive summary. </w:t>
      </w:r>
    </w:p>
    <w:p w14:paraId="6B1446B5"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6C2028BC" w14:textId="77777777" w:rsidR="006E2A0C" w:rsidRPr="006E2A0C" w:rsidRDefault="00276FA8" w:rsidP="006E2A0C">
      <w:pPr>
        <w:spacing w:before="240" w:after="240"/>
        <w:rPr>
          <w:rFonts w:ascii="Times New Roman" w:eastAsia="Times New Roman" w:hAnsi="Times New Roman" w:cs="Times New Roman"/>
          <w:sz w:val="24"/>
          <w:szCs w:val="24"/>
        </w:rPr>
      </w:pPr>
      <w:hyperlink r:id="rId11">
        <w:r w:rsidR="006E2A0C" w:rsidRPr="006E2A0C">
          <w:rPr>
            <w:rFonts w:ascii="Times New Roman" w:eastAsia="Times New Roman" w:hAnsi="Times New Roman" w:cs="Times New Roman"/>
            <w:b/>
            <w:color w:val="1155CC"/>
            <w:sz w:val="24"/>
            <w:szCs w:val="24"/>
            <w:u w:val="single"/>
          </w:rPr>
          <w:t>The 2019 VT Food Access Security Study’s</w:t>
        </w:r>
      </w:hyperlink>
      <w:r w:rsidR="006E2A0C" w:rsidRPr="006E2A0C">
        <w:rPr>
          <w:rFonts w:ascii="Times New Roman" w:eastAsia="Times New Roman" w:hAnsi="Times New Roman" w:cs="Times New Roman"/>
          <w:sz w:val="24"/>
          <w:szCs w:val="24"/>
        </w:rPr>
        <w:t xml:space="preserve"> internal reports show that graduate students are facing staggering levels of food insecurity. This report presented survey data collected between December 2018 and January 2019 indicating that </w:t>
      </w:r>
      <w:r w:rsidR="006E2A0C" w:rsidRPr="006E2A0C">
        <w:rPr>
          <w:rFonts w:ascii="Times New Roman" w:eastAsia="Times New Roman" w:hAnsi="Times New Roman" w:cs="Times New Roman"/>
          <w:b/>
          <w:sz w:val="24"/>
          <w:szCs w:val="24"/>
        </w:rPr>
        <w:t>35% (±7%)</w:t>
      </w:r>
      <w:r w:rsidR="006E2A0C" w:rsidRPr="006E2A0C">
        <w:rPr>
          <w:rFonts w:ascii="Times New Roman" w:eastAsia="Times New Roman" w:hAnsi="Times New Roman" w:cs="Times New Roman"/>
          <w:sz w:val="24"/>
          <w:szCs w:val="24"/>
        </w:rPr>
        <w:t xml:space="preserve"> of graduate students are classified as having low or very low food security, with low food security being defined by the USDA as reduced diet quality, variety, and/or desirability and very low food security including disrupted eating patterns and reduced food intake. Additionally, the study indicates that “International students are </w:t>
      </w:r>
      <w:r w:rsidR="006E2A0C" w:rsidRPr="006E2A0C">
        <w:rPr>
          <w:rFonts w:ascii="Times New Roman" w:eastAsia="Times New Roman" w:hAnsi="Times New Roman" w:cs="Times New Roman"/>
          <w:b/>
          <w:sz w:val="24"/>
          <w:szCs w:val="24"/>
        </w:rPr>
        <w:t>1.4 times more likely</w:t>
      </w:r>
      <w:r w:rsidR="006E2A0C" w:rsidRPr="006E2A0C">
        <w:rPr>
          <w:rFonts w:ascii="Times New Roman" w:eastAsia="Times New Roman" w:hAnsi="Times New Roman" w:cs="Times New Roman"/>
          <w:sz w:val="24"/>
          <w:szCs w:val="24"/>
        </w:rPr>
        <w:t xml:space="preserve"> to have a low/very low food security status than domestic students (p=0.06).” It should be noted that food insecurity has increased since 2019 as a consequence of the Coronavirus pandemic. For more information on the drastic increase in food insecurity in Virginia, please see the </w:t>
      </w:r>
      <w:hyperlink r:id="rId12">
        <w:r w:rsidR="006E2A0C" w:rsidRPr="006E2A0C">
          <w:rPr>
            <w:rFonts w:ascii="Times New Roman" w:eastAsia="Times New Roman" w:hAnsi="Times New Roman" w:cs="Times New Roman"/>
            <w:color w:val="1155CC"/>
            <w:sz w:val="24"/>
            <w:szCs w:val="24"/>
            <w:u w:val="single"/>
          </w:rPr>
          <w:t>May 2021 Virginia SNAP-Ed Report</w:t>
        </w:r>
      </w:hyperlink>
      <w:r w:rsidR="006E2A0C" w:rsidRPr="006E2A0C">
        <w:rPr>
          <w:rFonts w:ascii="Times New Roman" w:eastAsia="Times New Roman" w:hAnsi="Times New Roman" w:cs="Times New Roman"/>
          <w:sz w:val="24"/>
          <w:szCs w:val="24"/>
        </w:rPr>
        <w:t>.</w:t>
      </w:r>
      <w:hyperlink r:id="rId13">
        <w:r w:rsidR="006E2A0C" w:rsidRPr="006E2A0C">
          <w:rPr>
            <w:rFonts w:ascii="Times New Roman" w:eastAsia="Times New Roman" w:hAnsi="Times New Roman" w:cs="Times New Roman"/>
            <w:sz w:val="24"/>
            <w:szCs w:val="24"/>
          </w:rPr>
          <w:t xml:space="preserve"> </w:t>
        </w:r>
      </w:hyperlink>
    </w:p>
    <w:p w14:paraId="481B8B4A"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756318D4" w14:textId="77777777" w:rsidR="006E2A0C" w:rsidRDefault="00276FA8" w:rsidP="006E2A0C">
      <w:pPr>
        <w:spacing w:before="240" w:after="240"/>
        <w:rPr>
          <w:rFonts w:ascii="Times New Roman" w:eastAsia="Times New Roman" w:hAnsi="Times New Roman" w:cs="Times New Roman"/>
          <w:sz w:val="24"/>
          <w:szCs w:val="24"/>
        </w:rPr>
      </w:pPr>
      <w:hyperlink r:id="rId14">
        <w:r w:rsidR="006E2A0C" w:rsidRPr="006E2A0C">
          <w:rPr>
            <w:rFonts w:ascii="Times New Roman" w:eastAsia="Times New Roman" w:hAnsi="Times New Roman" w:cs="Times New Roman"/>
            <w:b/>
            <w:color w:val="1155CC"/>
            <w:sz w:val="24"/>
            <w:szCs w:val="24"/>
            <w:u w:val="single"/>
          </w:rPr>
          <w:t>The 2020 Graduate Education Task Force Report</w:t>
        </w:r>
      </w:hyperlink>
      <w:r w:rsidR="006E2A0C" w:rsidRPr="006E2A0C">
        <w:rPr>
          <w:rFonts w:ascii="Times New Roman" w:eastAsia="Times New Roman" w:hAnsi="Times New Roman" w:cs="Times New Roman"/>
          <w:sz w:val="24"/>
          <w:szCs w:val="24"/>
        </w:rPr>
        <w:t xml:space="preserve"> found that our graduate student stipends are not competitive with our peer institutions – one possible cause of stagnating recruiting numbers for graduate students.</w:t>
      </w:r>
    </w:p>
    <w:p w14:paraId="298E944F"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5DDC7609" w14:textId="23586799"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This Report recommends raising </w:t>
      </w:r>
      <w:r w:rsidR="009155E0">
        <w:rPr>
          <w:rFonts w:ascii="Times New Roman" w:eastAsia="Times New Roman" w:hAnsi="Times New Roman" w:cs="Times New Roman"/>
          <w:color w:val="000000"/>
          <w:sz w:val="24"/>
          <w:szCs w:val="24"/>
          <w:lang w:val="en-US"/>
        </w:rPr>
        <w:t>compensation</w:t>
      </w:r>
      <w:r w:rsidRPr="00007DB3">
        <w:rPr>
          <w:rFonts w:ascii="Times New Roman" w:eastAsia="Times New Roman" w:hAnsi="Times New Roman" w:cs="Times New Roman"/>
          <w:color w:val="000000"/>
          <w:sz w:val="24"/>
          <w:szCs w:val="24"/>
          <w:lang w:val="en-US"/>
        </w:rPr>
        <w:t xml:space="preserve"> to be more competitive with peer institutions as well as points to our low grant application rates in comparison to peer institutions. When this </w:t>
      </w:r>
      <w:r w:rsidR="00AA1F1C">
        <w:rPr>
          <w:rFonts w:ascii="Times New Roman" w:eastAsia="Times New Roman" w:hAnsi="Times New Roman" w:cs="Times New Roman"/>
          <w:color w:val="000000"/>
          <w:sz w:val="24"/>
          <w:szCs w:val="24"/>
          <w:lang w:val="en-US"/>
        </w:rPr>
        <w:t xml:space="preserve">information </w:t>
      </w:r>
      <w:r w:rsidRPr="00007DB3">
        <w:rPr>
          <w:rFonts w:ascii="Times New Roman" w:eastAsia="Times New Roman" w:hAnsi="Times New Roman" w:cs="Times New Roman"/>
          <w:color w:val="000000"/>
          <w:sz w:val="24"/>
          <w:szCs w:val="24"/>
          <w:lang w:val="en-US"/>
        </w:rPr>
        <w:t xml:space="preserve">was presented to the Board of Visitors, several members of the board commented on our low grant application rate and urged the graduate school to pursue strategies for increasing it. While not being competitive with our peers is concerning, we recommend </w:t>
      </w:r>
      <w:r w:rsidRPr="00007DB3">
        <w:rPr>
          <w:rFonts w:ascii="Times New Roman" w:eastAsia="Times New Roman" w:hAnsi="Times New Roman" w:cs="Times New Roman"/>
          <w:b/>
          <w:bCs/>
          <w:color w:val="000000"/>
          <w:sz w:val="24"/>
          <w:szCs w:val="24"/>
          <w:lang w:val="en-US"/>
        </w:rPr>
        <w:t xml:space="preserve">not </w:t>
      </w:r>
      <w:r w:rsidRPr="00007DB3">
        <w:rPr>
          <w:rFonts w:ascii="Times New Roman" w:eastAsia="Times New Roman" w:hAnsi="Times New Roman" w:cs="Times New Roman"/>
          <w:color w:val="000000"/>
          <w:sz w:val="24"/>
          <w:szCs w:val="24"/>
          <w:lang w:val="en-US"/>
        </w:rPr>
        <w:t>using peer institutions as our primary benchmark but rather using cost</w:t>
      </w:r>
      <w:r w:rsidR="009155E0">
        <w:rPr>
          <w:rFonts w:ascii="Times New Roman" w:eastAsia="Times New Roman" w:hAnsi="Times New Roman" w:cs="Times New Roman"/>
          <w:color w:val="000000"/>
          <w:sz w:val="24"/>
          <w:szCs w:val="24"/>
          <w:lang w:val="en-US"/>
        </w:rPr>
        <w:t>-</w:t>
      </w:r>
      <w:r w:rsidRPr="00007DB3">
        <w:rPr>
          <w:rFonts w:ascii="Times New Roman" w:eastAsia="Times New Roman" w:hAnsi="Times New Roman" w:cs="Times New Roman"/>
          <w:color w:val="000000"/>
          <w:sz w:val="24"/>
          <w:szCs w:val="24"/>
          <w:lang w:val="en-US"/>
        </w:rPr>
        <w:t>of</w:t>
      </w:r>
      <w:r w:rsidR="009155E0">
        <w:rPr>
          <w:rFonts w:ascii="Times New Roman" w:eastAsia="Times New Roman" w:hAnsi="Times New Roman" w:cs="Times New Roman"/>
          <w:color w:val="000000"/>
          <w:sz w:val="24"/>
          <w:szCs w:val="24"/>
          <w:lang w:val="en-US"/>
        </w:rPr>
        <w:t>-</w:t>
      </w:r>
      <w:r w:rsidRPr="00007DB3">
        <w:rPr>
          <w:rFonts w:ascii="Times New Roman" w:eastAsia="Times New Roman" w:hAnsi="Times New Roman" w:cs="Times New Roman"/>
          <w:color w:val="000000"/>
          <w:sz w:val="24"/>
          <w:szCs w:val="24"/>
          <w:lang w:val="en-US"/>
        </w:rPr>
        <w:t xml:space="preserve">living </w:t>
      </w:r>
      <w:r w:rsidR="00AA1F1C">
        <w:rPr>
          <w:rFonts w:ascii="Times New Roman" w:eastAsia="Times New Roman" w:hAnsi="Times New Roman" w:cs="Times New Roman"/>
          <w:color w:val="000000"/>
          <w:sz w:val="24"/>
          <w:szCs w:val="24"/>
          <w:lang w:val="en-US"/>
        </w:rPr>
        <w:t>which</w:t>
      </w:r>
      <w:r w:rsidRPr="00007DB3">
        <w:rPr>
          <w:rFonts w:ascii="Times New Roman" w:eastAsia="Times New Roman" w:hAnsi="Times New Roman" w:cs="Times New Roman"/>
          <w:color w:val="000000"/>
          <w:sz w:val="24"/>
          <w:szCs w:val="24"/>
          <w:lang w:val="en-US"/>
        </w:rPr>
        <w:t xml:space="preserve"> will more effectively address the equity and workplace problems with graduate student </w:t>
      </w:r>
      <w:r w:rsidR="001C5201">
        <w:rPr>
          <w:rFonts w:ascii="Times New Roman" w:eastAsia="Times New Roman" w:hAnsi="Times New Roman" w:cs="Times New Roman"/>
          <w:color w:val="000000"/>
          <w:sz w:val="24"/>
          <w:szCs w:val="24"/>
          <w:lang w:val="en-US"/>
        </w:rPr>
        <w:t>compensation</w:t>
      </w:r>
      <w:r w:rsidRPr="00007DB3">
        <w:rPr>
          <w:rFonts w:ascii="Times New Roman" w:eastAsia="Times New Roman" w:hAnsi="Times New Roman" w:cs="Times New Roman"/>
          <w:color w:val="000000"/>
          <w:sz w:val="24"/>
          <w:szCs w:val="24"/>
          <w:lang w:val="en-US"/>
        </w:rPr>
        <w:t xml:space="preserve"> mentioned by the resolution.</w:t>
      </w:r>
    </w:p>
    <w:p w14:paraId="6DA92137"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2E099368" w14:textId="77777777" w:rsidR="006E2A0C" w:rsidRDefault="006E2A0C" w:rsidP="006E2A0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t>
      </w:r>
      <w:hyperlink r:id="rId15">
        <w:r w:rsidRPr="00676655">
          <w:rPr>
            <w:rFonts w:ascii="Times New Roman" w:eastAsia="Times New Roman" w:hAnsi="Times New Roman" w:cs="Times New Roman"/>
            <w:color w:val="1155CC"/>
            <w:sz w:val="24"/>
            <w:szCs w:val="24"/>
            <w:highlight w:val="yellow"/>
            <w:u w:val="single"/>
          </w:rPr>
          <w:t>Housing Market Profile</w:t>
        </w:r>
      </w:hyperlink>
      <w:r>
        <w:rPr>
          <w:rFonts w:ascii="Times New Roman" w:eastAsia="Times New Roman" w:hAnsi="Times New Roman" w:cs="Times New Roman"/>
          <w:sz w:val="24"/>
          <w:szCs w:val="24"/>
        </w:rPr>
        <w:t xml:space="preserve"> from the U.S. Department of Housing and Urban Development, average rent increased 12% in the first quarter of 2020 whereas rent only increased only by 3% in the same quarter in 2019. Increase in student demand for housing has continued to increase rent prices over the past few years locally and reduced the number of affordable housing options in Blacksburg well beyond the average housing market. </w:t>
      </w:r>
    </w:p>
    <w:p w14:paraId="2E3B966D" w14:textId="1EED0687" w:rsidR="00007DB3" w:rsidRPr="00007DB3" w:rsidRDefault="00007DB3" w:rsidP="00007DB3">
      <w:pPr>
        <w:spacing w:line="240" w:lineRule="auto"/>
        <w:rPr>
          <w:rFonts w:ascii="Times New Roman" w:eastAsia="Times New Roman" w:hAnsi="Times New Roman" w:cs="Times New Roman"/>
          <w:sz w:val="24"/>
          <w:szCs w:val="24"/>
          <w:lang w:val="en-US"/>
        </w:rPr>
      </w:pPr>
    </w:p>
    <w:p w14:paraId="3F06AC9D"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19A7DD04"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57D6ACB5" w14:textId="3EA73D7A"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Lastly, we recommend looking at aspirational collegiate institutions for comparison, such as </w:t>
      </w:r>
      <w:hyperlink r:id="rId16">
        <w:r w:rsidR="006E2A0C" w:rsidRPr="00676655">
          <w:rPr>
            <w:rFonts w:ascii="Times New Roman" w:eastAsia="Times New Roman" w:hAnsi="Times New Roman" w:cs="Times New Roman"/>
            <w:color w:val="1155CC"/>
            <w:sz w:val="24"/>
            <w:szCs w:val="24"/>
            <w:highlight w:val="yellow"/>
            <w:u w:val="single"/>
          </w:rPr>
          <w:t>Duke University where they announced that</w:t>
        </w:r>
      </w:hyperlink>
      <w:r w:rsidR="006E2A0C">
        <w:rPr>
          <w:rFonts w:ascii="Times New Roman" w:eastAsia="Times New Roman" w:hAnsi="Times New Roman" w:cs="Times New Roman"/>
          <w:sz w:val="24"/>
          <w:szCs w:val="24"/>
        </w:rPr>
        <w:t xml:space="preserve"> </w:t>
      </w:r>
      <w:r w:rsidRPr="00007DB3">
        <w:rPr>
          <w:rFonts w:ascii="Times New Roman" w:eastAsia="Times New Roman" w:hAnsi="Times New Roman" w:cs="Times New Roman"/>
          <w:color w:val="000000"/>
          <w:sz w:val="24"/>
          <w:szCs w:val="24"/>
          <w:lang w:val="en-US"/>
        </w:rPr>
        <w:t xml:space="preserve"> Ph.D. students will receive a </w:t>
      </w:r>
      <w:r w:rsidR="009155E0" w:rsidRPr="00007DB3">
        <w:rPr>
          <w:rFonts w:ascii="Times New Roman" w:eastAsia="Times New Roman" w:hAnsi="Times New Roman" w:cs="Times New Roman"/>
          <w:color w:val="000000"/>
          <w:sz w:val="24"/>
          <w:szCs w:val="24"/>
          <w:lang w:val="en-US"/>
        </w:rPr>
        <w:t>12-month</w:t>
      </w:r>
      <w:r w:rsidRPr="00007DB3">
        <w:rPr>
          <w:rFonts w:ascii="Times New Roman" w:eastAsia="Times New Roman" w:hAnsi="Times New Roman" w:cs="Times New Roman"/>
          <w:color w:val="000000"/>
          <w:sz w:val="24"/>
          <w:szCs w:val="24"/>
          <w:lang w:val="en-US"/>
        </w:rPr>
        <w:t xml:space="preserve"> stipend for the first 5 years starting in 2022, a move the Dean of the Graduate School notes is “vital for the future of doctoral education at Duke”. </w:t>
      </w:r>
    </w:p>
    <w:p w14:paraId="61AC75D1"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3030B981" w14:textId="3E5F113E"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Other schools have recognized this shifting graduate student landscape at a more local level. For example, the Department of Biomedical Engineering at Texas A&amp;M provides </w:t>
      </w:r>
      <w:hyperlink r:id="rId17">
        <w:r w:rsidR="00A86909" w:rsidRPr="00676655">
          <w:rPr>
            <w:rFonts w:ascii="Times New Roman" w:eastAsia="Times New Roman" w:hAnsi="Times New Roman" w:cs="Times New Roman"/>
            <w:color w:val="1155CC"/>
            <w:sz w:val="24"/>
            <w:szCs w:val="24"/>
            <w:highlight w:val="yellow"/>
            <w:u w:val="single"/>
          </w:rPr>
          <w:t>12 month funding for a minimum of 4 years</w:t>
        </w:r>
      </w:hyperlink>
      <w:r w:rsidR="00A86909" w:rsidRPr="00676655">
        <w:rPr>
          <w:rFonts w:ascii="Times New Roman" w:eastAsia="Times New Roman" w:hAnsi="Times New Roman" w:cs="Times New Roman"/>
          <w:sz w:val="24"/>
          <w:szCs w:val="24"/>
          <w:highlight w:val="yellow"/>
        </w:rPr>
        <w:t>.</w:t>
      </w:r>
      <w:r w:rsidRPr="00007DB3">
        <w:rPr>
          <w:rFonts w:ascii="Times New Roman" w:eastAsia="Times New Roman" w:hAnsi="Times New Roman" w:cs="Times New Roman"/>
          <w:color w:val="000000"/>
          <w:sz w:val="24"/>
          <w:szCs w:val="24"/>
          <w:lang w:val="en-US"/>
        </w:rPr>
        <w:t> </w:t>
      </w:r>
    </w:p>
    <w:p w14:paraId="1097382E" w14:textId="60255076"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sz w:val="24"/>
          <w:szCs w:val="24"/>
          <w:lang w:val="en-US"/>
        </w:rPr>
        <w:br/>
      </w:r>
      <w:r w:rsidRPr="00007DB3">
        <w:rPr>
          <w:rFonts w:ascii="Times New Roman" w:eastAsia="Times New Roman" w:hAnsi="Times New Roman" w:cs="Times New Roman"/>
          <w:b/>
          <w:bCs/>
          <w:color w:val="000000"/>
          <w:sz w:val="24"/>
          <w:szCs w:val="24"/>
          <w:lang w:val="en-US"/>
        </w:rPr>
        <w:t xml:space="preserve">Appendix 2: NRV Cost of Living </w:t>
      </w:r>
      <w:r w:rsidR="00AA1F1C">
        <w:rPr>
          <w:rFonts w:ascii="Times New Roman" w:eastAsia="Times New Roman" w:hAnsi="Times New Roman" w:cs="Times New Roman"/>
          <w:b/>
          <w:bCs/>
          <w:color w:val="000000"/>
          <w:sz w:val="24"/>
          <w:szCs w:val="24"/>
          <w:lang w:val="en-US"/>
        </w:rPr>
        <w:t>for</w:t>
      </w:r>
      <w:r w:rsidR="00AA1F1C" w:rsidRPr="00007DB3">
        <w:rPr>
          <w:rFonts w:ascii="Times New Roman" w:eastAsia="Times New Roman" w:hAnsi="Times New Roman" w:cs="Times New Roman"/>
          <w:b/>
          <w:bCs/>
          <w:color w:val="000000"/>
          <w:sz w:val="24"/>
          <w:szCs w:val="24"/>
          <w:lang w:val="en-US"/>
        </w:rPr>
        <w:t xml:space="preserve"> </w:t>
      </w:r>
      <w:r w:rsidRPr="00007DB3">
        <w:rPr>
          <w:rFonts w:ascii="Times New Roman" w:eastAsia="Times New Roman" w:hAnsi="Times New Roman" w:cs="Times New Roman"/>
          <w:b/>
          <w:bCs/>
          <w:color w:val="000000"/>
          <w:sz w:val="24"/>
          <w:szCs w:val="24"/>
          <w:lang w:val="en-US"/>
        </w:rPr>
        <w:t>Domestic and International Students</w:t>
      </w:r>
    </w:p>
    <w:p w14:paraId="1452FDE7"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79342163" w14:textId="77777777" w:rsidR="00A86909" w:rsidRDefault="00A86909" w:rsidP="00A86909">
      <w:pPr>
        <w:spacing w:before="240" w:after="240"/>
        <w:rPr>
          <w:rFonts w:ascii="Times New Roman" w:eastAsia="Times New Roman" w:hAnsi="Times New Roman" w:cs="Times New Roman"/>
          <w:sz w:val="24"/>
          <w:szCs w:val="24"/>
          <w:u w:val="single"/>
        </w:rPr>
      </w:pPr>
      <w:r w:rsidRPr="00A86909">
        <w:rPr>
          <w:rFonts w:ascii="Times New Roman" w:eastAsia="Times New Roman" w:hAnsi="Times New Roman" w:cs="Times New Roman"/>
          <w:sz w:val="24"/>
          <w:szCs w:val="24"/>
          <w:u w:val="single"/>
        </w:rPr>
        <w:t>These data are to provide a contextual overview of the estimated cost of living and ‘ballpark’ compensation increase. It is not a budgetary command or finding.</w:t>
      </w:r>
      <w:r>
        <w:rPr>
          <w:rFonts w:ascii="Times New Roman" w:eastAsia="Times New Roman" w:hAnsi="Times New Roman" w:cs="Times New Roman"/>
          <w:sz w:val="24"/>
          <w:szCs w:val="24"/>
          <w:u w:val="single"/>
        </w:rPr>
        <w:t xml:space="preserve"> </w:t>
      </w:r>
    </w:p>
    <w:p w14:paraId="4C5A309D" w14:textId="77777777" w:rsidR="00A86909" w:rsidRDefault="00A86909" w:rsidP="00007DB3">
      <w:pPr>
        <w:spacing w:line="240" w:lineRule="auto"/>
        <w:rPr>
          <w:rFonts w:ascii="Times New Roman" w:eastAsia="Times New Roman" w:hAnsi="Times New Roman" w:cs="Times New Roman"/>
          <w:color w:val="000000"/>
          <w:sz w:val="24"/>
          <w:szCs w:val="24"/>
          <w:lang w:val="en-US"/>
        </w:rPr>
      </w:pPr>
    </w:p>
    <w:p w14:paraId="4EE33B71" w14:textId="651E0E32"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Data collected by </w:t>
      </w:r>
      <w:hyperlink r:id="rId18">
        <w:r w:rsidR="00A86909" w:rsidRPr="00676655">
          <w:rPr>
            <w:rFonts w:ascii="Times New Roman" w:eastAsia="Times New Roman" w:hAnsi="Times New Roman" w:cs="Times New Roman"/>
            <w:color w:val="1155CC"/>
            <w:sz w:val="24"/>
            <w:szCs w:val="24"/>
            <w:highlight w:val="yellow"/>
            <w:u w:val="single"/>
          </w:rPr>
          <w:t>MIT’s Living Wage Calculator</w:t>
        </w:r>
      </w:hyperlink>
      <w:r w:rsidR="00A86909">
        <w:rPr>
          <w:rFonts w:ascii="Times New Roman" w:eastAsia="Times New Roman" w:hAnsi="Times New Roman" w:cs="Times New Roman"/>
          <w:sz w:val="24"/>
          <w:szCs w:val="24"/>
        </w:rPr>
        <w:t xml:space="preserve"> </w:t>
      </w:r>
      <w:r w:rsidRPr="00007DB3">
        <w:rPr>
          <w:rFonts w:ascii="Times New Roman" w:eastAsia="Times New Roman" w:hAnsi="Times New Roman" w:cs="Times New Roman"/>
          <w:color w:val="000000"/>
          <w:sz w:val="24"/>
          <w:szCs w:val="24"/>
          <w:lang w:val="en-US"/>
        </w:rPr>
        <w:t>as of January 2019 indicate that the living wage</w:t>
      </w:r>
      <w:r w:rsidR="00AA1F1C">
        <w:rPr>
          <w:rFonts w:ascii="Times New Roman" w:eastAsia="Times New Roman" w:hAnsi="Times New Roman" w:cs="Times New Roman"/>
          <w:color w:val="000000"/>
          <w:sz w:val="24"/>
          <w:szCs w:val="24"/>
          <w:lang w:val="en-US"/>
        </w:rPr>
        <w:t xml:space="preserve"> for a single adult without children</w:t>
      </w:r>
      <w:r w:rsidRPr="00007DB3">
        <w:rPr>
          <w:rFonts w:ascii="Times New Roman" w:eastAsia="Times New Roman" w:hAnsi="Times New Roman" w:cs="Times New Roman"/>
          <w:color w:val="000000"/>
          <w:sz w:val="24"/>
          <w:szCs w:val="24"/>
          <w:lang w:val="en-US"/>
        </w:rPr>
        <w:t xml:space="preserve"> required for the New River Valley area to meet the area’s cost of living is </w:t>
      </w:r>
      <w:r w:rsidRPr="00007DB3">
        <w:rPr>
          <w:rFonts w:ascii="Times New Roman" w:eastAsia="Times New Roman" w:hAnsi="Times New Roman" w:cs="Times New Roman"/>
          <w:b/>
          <w:bCs/>
          <w:color w:val="000000"/>
          <w:sz w:val="24"/>
          <w:szCs w:val="24"/>
          <w:lang w:val="en-US"/>
        </w:rPr>
        <w:t xml:space="preserve">$31,195 </w:t>
      </w:r>
      <w:r w:rsidRPr="00007DB3">
        <w:rPr>
          <w:rFonts w:ascii="Times New Roman" w:eastAsia="Times New Roman" w:hAnsi="Times New Roman" w:cs="Times New Roman"/>
          <w:color w:val="000000"/>
          <w:sz w:val="24"/>
          <w:szCs w:val="24"/>
          <w:lang w:val="en-US"/>
        </w:rPr>
        <w:t>before tax</w:t>
      </w:r>
      <w:r w:rsidR="00AA1F1C">
        <w:rPr>
          <w:rFonts w:ascii="Times New Roman" w:eastAsia="Times New Roman" w:hAnsi="Times New Roman" w:cs="Times New Roman"/>
          <w:color w:val="000000"/>
          <w:sz w:val="24"/>
          <w:szCs w:val="24"/>
          <w:lang w:val="en-US"/>
        </w:rPr>
        <w:t>es</w:t>
      </w:r>
      <w:r w:rsidRPr="00007DB3">
        <w:rPr>
          <w:rFonts w:ascii="Times New Roman" w:eastAsia="Times New Roman" w:hAnsi="Times New Roman" w:cs="Times New Roman"/>
          <w:b/>
          <w:bCs/>
          <w:color w:val="000000"/>
          <w:sz w:val="24"/>
          <w:szCs w:val="24"/>
          <w:lang w:val="en-US"/>
        </w:rPr>
        <w:t xml:space="preserve">. </w:t>
      </w:r>
      <w:r w:rsidRPr="00007DB3">
        <w:rPr>
          <w:rFonts w:ascii="Times New Roman" w:eastAsia="Times New Roman" w:hAnsi="Times New Roman" w:cs="Times New Roman"/>
          <w:color w:val="000000"/>
          <w:sz w:val="24"/>
          <w:szCs w:val="24"/>
          <w:lang w:val="en-US"/>
        </w:rPr>
        <w:t xml:space="preserve">For the state of Virginia, this living wage is </w:t>
      </w:r>
      <w:r w:rsidRPr="00007DB3">
        <w:rPr>
          <w:rFonts w:ascii="Times New Roman" w:eastAsia="Times New Roman" w:hAnsi="Times New Roman" w:cs="Times New Roman"/>
          <w:b/>
          <w:bCs/>
          <w:color w:val="000000"/>
          <w:sz w:val="24"/>
          <w:szCs w:val="24"/>
          <w:lang w:val="en-US"/>
        </w:rPr>
        <w:t>$34,552</w:t>
      </w:r>
      <w:r w:rsidRPr="00007DB3">
        <w:rPr>
          <w:rFonts w:ascii="Times New Roman" w:eastAsia="Times New Roman" w:hAnsi="Times New Roman" w:cs="Times New Roman"/>
          <w:color w:val="000000"/>
          <w:sz w:val="24"/>
          <w:szCs w:val="24"/>
          <w:lang w:val="en-US"/>
        </w:rPr>
        <w:t>.</w:t>
      </w:r>
    </w:p>
    <w:p w14:paraId="7E6C448D"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1A8EC1A6" w14:textId="5417B161"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lastRenderedPageBreak/>
        <w:t xml:space="preserve">Notably, due to supply chain disruptions and ongoing complications from the Covid-19 pandemic, inflation has made the biggest 12-month jump in 30 years -- </w:t>
      </w:r>
      <w:r w:rsidRPr="00007DB3">
        <w:rPr>
          <w:rFonts w:ascii="Times New Roman" w:eastAsia="Times New Roman" w:hAnsi="Times New Roman" w:cs="Times New Roman"/>
          <w:b/>
          <w:bCs/>
          <w:color w:val="000000"/>
          <w:sz w:val="24"/>
          <w:szCs w:val="24"/>
          <w:lang w:val="en-US"/>
        </w:rPr>
        <w:t>increasing 6.2% in the last 12-months alone</w:t>
      </w:r>
      <w:r w:rsidRPr="00007DB3">
        <w:rPr>
          <w:rFonts w:ascii="Times New Roman" w:eastAsia="Times New Roman" w:hAnsi="Times New Roman" w:cs="Times New Roman"/>
          <w:color w:val="000000"/>
          <w:sz w:val="24"/>
          <w:szCs w:val="24"/>
          <w:lang w:val="en-US"/>
        </w:rPr>
        <w:t xml:space="preserve"> </w:t>
      </w:r>
      <w:hyperlink r:id="rId19">
        <w:r w:rsidR="00A86909" w:rsidRPr="00676655">
          <w:rPr>
            <w:rFonts w:ascii="Times New Roman" w:eastAsia="Times New Roman" w:hAnsi="Times New Roman" w:cs="Times New Roman"/>
            <w:color w:val="1155CC"/>
            <w:sz w:val="24"/>
            <w:szCs w:val="24"/>
            <w:highlight w:val="yellow"/>
            <w:u w:val="single"/>
          </w:rPr>
          <w:t>with energy and utilities experiencing the largest jumps between September and October 2021</w:t>
        </w:r>
      </w:hyperlink>
      <w:r w:rsidR="00A86909" w:rsidRPr="00676655">
        <w:rPr>
          <w:rFonts w:ascii="Times New Roman" w:eastAsia="Times New Roman" w:hAnsi="Times New Roman" w:cs="Times New Roman"/>
          <w:sz w:val="24"/>
          <w:szCs w:val="24"/>
          <w:highlight w:val="yellow"/>
        </w:rPr>
        <w:t>.</w:t>
      </w:r>
    </w:p>
    <w:p w14:paraId="71A7AA7C"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48444531" w14:textId="4107645C"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Additionally, data from the </w:t>
      </w:r>
      <w:hyperlink r:id="rId20">
        <w:r w:rsidR="00A86909" w:rsidRPr="00676655">
          <w:rPr>
            <w:rFonts w:ascii="Times New Roman" w:eastAsia="Times New Roman" w:hAnsi="Times New Roman" w:cs="Times New Roman"/>
            <w:color w:val="1155CC"/>
            <w:sz w:val="24"/>
            <w:szCs w:val="24"/>
            <w:highlight w:val="yellow"/>
            <w:u w:val="single"/>
          </w:rPr>
          <w:t xml:space="preserve"> Federal Reserve Bank of Philadelphia</w:t>
        </w:r>
      </w:hyperlink>
      <w:r w:rsidRPr="00007DB3">
        <w:rPr>
          <w:rFonts w:ascii="Times New Roman" w:eastAsia="Times New Roman" w:hAnsi="Times New Roman" w:cs="Times New Roman"/>
          <w:color w:val="000000"/>
          <w:sz w:val="24"/>
          <w:szCs w:val="24"/>
          <w:lang w:val="en-US"/>
        </w:rPr>
        <w:t xml:space="preserve"> project over the next 10 years, inflation is expected to increase an average of </w:t>
      </w:r>
      <w:r w:rsidRPr="00007DB3">
        <w:rPr>
          <w:rFonts w:ascii="Times New Roman" w:eastAsia="Times New Roman" w:hAnsi="Times New Roman" w:cs="Times New Roman"/>
          <w:b/>
          <w:bCs/>
          <w:color w:val="000000"/>
          <w:sz w:val="24"/>
          <w:szCs w:val="24"/>
          <w:lang w:val="en-US"/>
        </w:rPr>
        <w:t>2.44% per year</w:t>
      </w:r>
      <w:r w:rsidRPr="00007DB3">
        <w:rPr>
          <w:rFonts w:ascii="Times New Roman" w:eastAsia="Times New Roman" w:hAnsi="Times New Roman" w:cs="Times New Roman"/>
          <w:color w:val="000000"/>
          <w:sz w:val="24"/>
          <w:szCs w:val="24"/>
          <w:lang w:val="en-US"/>
        </w:rPr>
        <w:t xml:space="preserve"> for PCI and </w:t>
      </w:r>
      <w:r w:rsidRPr="00007DB3">
        <w:rPr>
          <w:rFonts w:ascii="Times New Roman" w:eastAsia="Times New Roman" w:hAnsi="Times New Roman" w:cs="Times New Roman"/>
          <w:b/>
          <w:bCs/>
          <w:color w:val="000000"/>
          <w:sz w:val="24"/>
          <w:szCs w:val="24"/>
          <w:lang w:val="en-US"/>
        </w:rPr>
        <w:t>2.2% per year</w:t>
      </w:r>
      <w:r w:rsidRPr="00007DB3">
        <w:rPr>
          <w:rFonts w:ascii="Times New Roman" w:eastAsia="Times New Roman" w:hAnsi="Times New Roman" w:cs="Times New Roman"/>
          <w:color w:val="000000"/>
          <w:sz w:val="24"/>
          <w:szCs w:val="24"/>
          <w:lang w:val="en-US"/>
        </w:rPr>
        <w:t xml:space="preserve"> for PCE</w:t>
      </w:r>
      <w:r w:rsidRPr="00007DB3">
        <w:rPr>
          <w:rFonts w:ascii="Times New Roman" w:eastAsia="Times New Roman" w:hAnsi="Times New Roman" w:cs="Times New Roman"/>
          <w:color w:val="000000"/>
          <w:lang w:val="en-US"/>
        </w:rPr>
        <w:t>.</w:t>
      </w:r>
      <w:r w:rsidRPr="00007DB3">
        <w:rPr>
          <w:rFonts w:ascii="Times New Roman" w:eastAsia="Times New Roman" w:hAnsi="Times New Roman" w:cs="Times New Roman"/>
          <w:color w:val="000000"/>
          <w:sz w:val="24"/>
          <w:szCs w:val="24"/>
          <w:lang w:val="en-US"/>
        </w:rPr>
        <w:t> </w:t>
      </w:r>
    </w:p>
    <w:p w14:paraId="7E1F433C"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10635E38" w14:textId="68E009BA"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Presently, VT graduate students and employees </w:t>
      </w:r>
      <w:r w:rsidRPr="00007DB3">
        <w:rPr>
          <w:rFonts w:ascii="Times New Roman" w:eastAsia="Times New Roman" w:hAnsi="Times New Roman" w:cs="Times New Roman"/>
          <w:b/>
          <w:bCs/>
          <w:color w:val="000000"/>
          <w:sz w:val="24"/>
          <w:szCs w:val="24"/>
          <w:lang w:val="en-US"/>
        </w:rPr>
        <w:t>do not</w:t>
      </w:r>
      <w:r w:rsidRPr="00007DB3">
        <w:rPr>
          <w:rFonts w:ascii="Times New Roman" w:eastAsia="Times New Roman" w:hAnsi="Times New Roman" w:cs="Times New Roman"/>
          <w:color w:val="000000"/>
          <w:sz w:val="24"/>
          <w:szCs w:val="24"/>
          <w:lang w:val="en-US"/>
        </w:rPr>
        <w:t xml:space="preserve"> receive annual </w:t>
      </w:r>
      <w:r w:rsidR="009155E0">
        <w:rPr>
          <w:rFonts w:ascii="Times New Roman" w:eastAsia="Times New Roman" w:hAnsi="Times New Roman" w:cs="Times New Roman"/>
          <w:color w:val="000000"/>
          <w:sz w:val="24"/>
          <w:szCs w:val="24"/>
          <w:lang w:val="en-US"/>
        </w:rPr>
        <w:t>compensation</w:t>
      </w:r>
      <w:r w:rsidRPr="00007DB3">
        <w:rPr>
          <w:rFonts w:ascii="Times New Roman" w:eastAsia="Times New Roman" w:hAnsi="Times New Roman" w:cs="Times New Roman"/>
          <w:color w:val="000000"/>
          <w:sz w:val="24"/>
          <w:szCs w:val="24"/>
          <w:lang w:val="en-US"/>
        </w:rPr>
        <w:t xml:space="preserve"> increases to keep pace with inflation. </w:t>
      </w:r>
    </w:p>
    <w:p w14:paraId="4F2242EA"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706DEA2A" w14:textId="55257D36"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Factoring in tax disparities, </w:t>
      </w:r>
      <w:hyperlink r:id="rId21" w:anchor="general%20tax%20information">
        <w:r w:rsidR="00A86909" w:rsidRPr="00676655">
          <w:rPr>
            <w:rFonts w:ascii="Times New Roman" w:eastAsia="Times New Roman" w:hAnsi="Times New Roman" w:cs="Times New Roman"/>
            <w:color w:val="1155CC"/>
            <w:sz w:val="24"/>
            <w:szCs w:val="24"/>
            <w:highlight w:val="yellow"/>
            <w:u w:val="single"/>
          </w:rPr>
          <w:t xml:space="preserve"> international students are taxed at </w:t>
        </w:r>
      </w:hyperlink>
      <w:hyperlink r:id="rId22" w:anchor="general%20tax%20information">
        <w:r w:rsidR="00A86909" w:rsidRPr="00676655">
          <w:rPr>
            <w:rFonts w:ascii="Times New Roman" w:eastAsia="Times New Roman" w:hAnsi="Times New Roman" w:cs="Times New Roman"/>
            <w:b/>
            <w:color w:val="1155CC"/>
            <w:sz w:val="24"/>
            <w:szCs w:val="24"/>
            <w:highlight w:val="yellow"/>
            <w:u w:val="single"/>
          </w:rPr>
          <w:t>14%</w:t>
        </w:r>
      </w:hyperlink>
      <w:r w:rsidR="00A86909">
        <w:rPr>
          <w:rFonts w:ascii="Times New Roman" w:eastAsia="Times New Roman" w:hAnsi="Times New Roman" w:cs="Times New Roman"/>
          <w:sz w:val="24"/>
          <w:szCs w:val="24"/>
        </w:rPr>
        <w:t xml:space="preserve"> </w:t>
      </w:r>
      <w:r w:rsidRPr="00007DB3">
        <w:rPr>
          <w:rFonts w:ascii="Times New Roman" w:eastAsia="Times New Roman" w:hAnsi="Times New Roman" w:cs="Times New Roman"/>
          <w:color w:val="000000"/>
          <w:sz w:val="24"/>
          <w:szCs w:val="24"/>
          <w:lang w:val="en-US"/>
        </w:rPr>
        <w:t xml:space="preserve">with the majority of domestic students being charged </w:t>
      </w:r>
      <w:r w:rsidRPr="00007DB3">
        <w:rPr>
          <w:rFonts w:ascii="Times New Roman" w:eastAsia="Times New Roman" w:hAnsi="Times New Roman" w:cs="Times New Roman"/>
          <w:b/>
          <w:bCs/>
          <w:color w:val="000000"/>
          <w:sz w:val="24"/>
          <w:szCs w:val="24"/>
          <w:lang w:val="en-US"/>
        </w:rPr>
        <w:t>12%</w:t>
      </w:r>
      <w:r w:rsidRPr="00007DB3">
        <w:rPr>
          <w:rFonts w:ascii="Times New Roman" w:eastAsia="Times New Roman" w:hAnsi="Times New Roman" w:cs="Times New Roman"/>
          <w:color w:val="000000"/>
          <w:sz w:val="24"/>
          <w:szCs w:val="24"/>
          <w:lang w:val="en-US"/>
        </w:rPr>
        <w:t xml:space="preserve"> (Tax bracket $10,275 - $41,774). While difficult to track precisely because this rate can be inconsistent </w:t>
      </w:r>
      <w:r w:rsidR="00AA1F1C">
        <w:rPr>
          <w:rFonts w:ascii="Times New Roman" w:eastAsia="Times New Roman" w:hAnsi="Times New Roman" w:cs="Times New Roman"/>
          <w:color w:val="000000"/>
          <w:sz w:val="24"/>
          <w:szCs w:val="24"/>
          <w:lang w:val="en-US"/>
        </w:rPr>
        <w:t>among</w:t>
      </w:r>
      <w:r w:rsidR="00AA1F1C" w:rsidRPr="00007DB3">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 xml:space="preserve">international students, the general trend can also be demonstrably found in the </w:t>
      </w:r>
      <w:r w:rsidR="009155E0" w:rsidRPr="00007DB3">
        <w:rPr>
          <w:rFonts w:ascii="Times New Roman" w:eastAsia="Times New Roman" w:hAnsi="Times New Roman" w:cs="Times New Roman"/>
          <w:color w:val="000000"/>
          <w:sz w:val="24"/>
          <w:szCs w:val="24"/>
          <w:lang w:val="en-US"/>
        </w:rPr>
        <w:t>cost-of-living</w:t>
      </w:r>
      <w:r w:rsidRPr="00007DB3">
        <w:rPr>
          <w:rFonts w:ascii="Times New Roman" w:eastAsia="Times New Roman" w:hAnsi="Times New Roman" w:cs="Times New Roman"/>
          <w:color w:val="000000"/>
          <w:sz w:val="24"/>
          <w:szCs w:val="24"/>
          <w:lang w:val="en-US"/>
        </w:rPr>
        <w:t xml:space="preserve"> survey findings.</w:t>
      </w:r>
    </w:p>
    <w:p w14:paraId="43BD4152"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4E7FCE90" w14:textId="50C7D549"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Further, university fees are not incorporated in the </w:t>
      </w:r>
      <w:r w:rsidR="009155E0">
        <w:rPr>
          <w:rFonts w:ascii="Times New Roman" w:eastAsia="Times New Roman" w:hAnsi="Times New Roman" w:cs="Times New Roman"/>
          <w:color w:val="000000"/>
          <w:sz w:val="24"/>
          <w:szCs w:val="24"/>
          <w:lang w:val="en-US"/>
        </w:rPr>
        <w:t>cost-of-living</w:t>
      </w:r>
      <w:r w:rsidRPr="00007DB3">
        <w:rPr>
          <w:rFonts w:ascii="Times New Roman" w:eastAsia="Times New Roman" w:hAnsi="Times New Roman" w:cs="Times New Roman"/>
          <w:color w:val="000000"/>
          <w:sz w:val="24"/>
          <w:szCs w:val="24"/>
          <w:lang w:val="en-US"/>
        </w:rPr>
        <w:t xml:space="preserve"> report. The </w:t>
      </w:r>
      <w:r w:rsidR="00A86909" w:rsidRPr="00A86909">
        <w:rPr>
          <w:rFonts w:ascii="Times New Roman" w:eastAsia="Times New Roman" w:hAnsi="Times New Roman" w:cs="Times New Roman"/>
          <w:color w:val="000000"/>
          <w:sz w:val="24"/>
          <w:szCs w:val="24"/>
          <w:highlight w:val="yellow"/>
          <w:lang w:val="en-US"/>
        </w:rPr>
        <w:t>yearly student fees</w:t>
      </w:r>
      <w:r w:rsidR="00A86909" w:rsidRPr="00A86909" w:rsidDel="00A86909">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color w:val="000000"/>
          <w:sz w:val="24"/>
          <w:szCs w:val="24"/>
          <w:lang w:val="en-US"/>
        </w:rPr>
        <w:t xml:space="preserve">for Virginia residents at Blacksburg Campus </w:t>
      </w:r>
      <w:r w:rsidR="008F5B68">
        <w:rPr>
          <w:rFonts w:ascii="Times New Roman" w:eastAsia="Times New Roman" w:hAnsi="Times New Roman" w:cs="Times New Roman"/>
          <w:color w:val="000000"/>
          <w:sz w:val="24"/>
          <w:szCs w:val="24"/>
          <w:lang w:val="en-US"/>
        </w:rPr>
        <w:t>are</w:t>
      </w:r>
      <w:r w:rsidRPr="00007DB3">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b/>
          <w:bCs/>
          <w:color w:val="000000"/>
          <w:sz w:val="24"/>
          <w:szCs w:val="24"/>
          <w:lang w:val="en-US"/>
        </w:rPr>
        <w:t>$2,424</w:t>
      </w:r>
      <w:r w:rsidRPr="00007DB3">
        <w:rPr>
          <w:rFonts w:ascii="Times New Roman" w:eastAsia="Times New Roman" w:hAnsi="Times New Roman" w:cs="Times New Roman"/>
          <w:color w:val="000000"/>
          <w:sz w:val="24"/>
          <w:szCs w:val="24"/>
          <w:lang w:val="en-US"/>
        </w:rPr>
        <w:t xml:space="preserve"> at base cost, going up to $4,424 / year for the college of engineering, specifically. For international students, these fees jump to </w:t>
      </w:r>
      <w:r w:rsidRPr="00007DB3">
        <w:rPr>
          <w:rFonts w:ascii="Times New Roman" w:eastAsia="Times New Roman" w:hAnsi="Times New Roman" w:cs="Times New Roman"/>
          <w:b/>
          <w:bCs/>
          <w:color w:val="000000"/>
          <w:sz w:val="24"/>
          <w:szCs w:val="24"/>
          <w:lang w:val="en-US"/>
        </w:rPr>
        <w:t>$3,028</w:t>
      </w:r>
      <w:r w:rsidRPr="00007DB3">
        <w:rPr>
          <w:rFonts w:ascii="Times New Roman" w:eastAsia="Times New Roman" w:hAnsi="Times New Roman" w:cs="Times New Roman"/>
          <w:color w:val="000000"/>
          <w:sz w:val="24"/>
          <w:szCs w:val="24"/>
          <w:lang w:val="en-US"/>
        </w:rPr>
        <w:t xml:space="preserve"> with an additional Immigration Services Fee of </w:t>
      </w:r>
      <w:r w:rsidRPr="00007DB3">
        <w:rPr>
          <w:rFonts w:ascii="Times New Roman" w:eastAsia="Times New Roman" w:hAnsi="Times New Roman" w:cs="Times New Roman"/>
          <w:b/>
          <w:bCs/>
          <w:color w:val="000000"/>
          <w:sz w:val="24"/>
          <w:szCs w:val="24"/>
          <w:lang w:val="en-US"/>
        </w:rPr>
        <w:t>$550</w:t>
      </w:r>
      <w:r w:rsidRPr="00007DB3">
        <w:rPr>
          <w:rFonts w:ascii="Times New Roman" w:eastAsia="Times New Roman" w:hAnsi="Times New Roman" w:cs="Times New Roman"/>
          <w:color w:val="000000"/>
          <w:sz w:val="24"/>
          <w:szCs w:val="24"/>
          <w:lang w:val="en-US"/>
        </w:rPr>
        <w:t xml:space="preserve"> </w:t>
      </w:r>
      <w:r w:rsidRPr="00007DB3">
        <w:rPr>
          <w:rFonts w:ascii="Times New Roman" w:eastAsia="Times New Roman" w:hAnsi="Times New Roman" w:cs="Times New Roman"/>
          <w:b/>
          <w:bCs/>
          <w:color w:val="000000"/>
          <w:sz w:val="24"/>
          <w:szCs w:val="24"/>
          <w:lang w:val="en-US"/>
        </w:rPr>
        <w:t>/ year.</w:t>
      </w:r>
      <w:r w:rsidRPr="00007DB3">
        <w:rPr>
          <w:rFonts w:ascii="Times New Roman" w:eastAsia="Times New Roman" w:hAnsi="Times New Roman" w:cs="Times New Roman"/>
          <w:color w:val="000000"/>
          <w:sz w:val="24"/>
          <w:szCs w:val="24"/>
          <w:lang w:val="en-US"/>
        </w:rPr>
        <w:t xml:space="preserve"> International students pay a range from </w:t>
      </w:r>
      <w:r w:rsidRPr="00007DB3">
        <w:rPr>
          <w:rFonts w:ascii="Times New Roman" w:eastAsia="Times New Roman" w:hAnsi="Times New Roman" w:cs="Times New Roman"/>
          <w:b/>
          <w:bCs/>
          <w:color w:val="000000"/>
          <w:sz w:val="24"/>
          <w:szCs w:val="24"/>
          <w:lang w:val="en-US"/>
        </w:rPr>
        <w:t>$3,578 - $5,578</w:t>
      </w:r>
      <w:r w:rsidRPr="00007DB3">
        <w:rPr>
          <w:rFonts w:ascii="Times New Roman" w:eastAsia="Times New Roman" w:hAnsi="Times New Roman" w:cs="Times New Roman"/>
          <w:color w:val="000000"/>
          <w:sz w:val="24"/>
          <w:szCs w:val="24"/>
          <w:lang w:val="en-US"/>
        </w:rPr>
        <w:t xml:space="preserve"> (CoE)</w:t>
      </w:r>
      <w:r w:rsidR="00A86909">
        <w:rPr>
          <w:rFonts w:ascii="Times New Roman" w:eastAsia="Times New Roman" w:hAnsi="Times New Roman" w:cs="Times New Roman"/>
          <w:color w:val="000000"/>
          <w:sz w:val="24"/>
          <w:szCs w:val="24"/>
          <w:lang w:val="en-US"/>
        </w:rPr>
        <w:t>.</w:t>
      </w:r>
      <w:r w:rsidRPr="00007DB3">
        <w:rPr>
          <w:rFonts w:ascii="Times New Roman" w:eastAsia="Times New Roman" w:hAnsi="Times New Roman" w:cs="Times New Roman"/>
          <w:color w:val="000000"/>
          <w:sz w:val="24"/>
          <w:szCs w:val="24"/>
          <w:lang w:val="en-US"/>
        </w:rPr>
        <w:t> </w:t>
      </w:r>
    </w:p>
    <w:p w14:paraId="18245A1C"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45A197F3" w14:textId="1D4E37CD"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color w:val="000000"/>
          <w:sz w:val="24"/>
          <w:szCs w:val="24"/>
          <w:lang w:val="en-US"/>
        </w:rPr>
        <w:t xml:space="preserve">We estimate that an additional </w:t>
      </w:r>
      <w:r w:rsidRPr="00007DB3">
        <w:rPr>
          <w:rFonts w:ascii="Times New Roman" w:eastAsia="Times New Roman" w:hAnsi="Times New Roman" w:cs="Times New Roman"/>
          <w:b/>
          <w:bCs/>
          <w:color w:val="000000"/>
          <w:sz w:val="24"/>
          <w:szCs w:val="24"/>
          <w:lang w:val="en-US"/>
        </w:rPr>
        <w:t xml:space="preserve">$3,800 - $5,800 </w:t>
      </w:r>
      <w:r w:rsidRPr="00007DB3">
        <w:rPr>
          <w:rFonts w:ascii="Times New Roman" w:eastAsia="Times New Roman" w:hAnsi="Times New Roman" w:cs="Times New Roman"/>
          <w:color w:val="000000"/>
          <w:sz w:val="24"/>
          <w:szCs w:val="24"/>
          <w:lang w:val="en-US"/>
        </w:rPr>
        <w:t xml:space="preserve">may be needed to account for these </w:t>
      </w:r>
      <w:r w:rsidRPr="00007DB3">
        <w:rPr>
          <w:rFonts w:ascii="Times New Roman" w:eastAsia="Times New Roman" w:hAnsi="Times New Roman" w:cs="Times New Roman"/>
          <w:b/>
          <w:bCs/>
          <w:color w:val="000000"/>
          <w:sz w:val="24"/>
          <w:szCs w:val="24"/>
          <w:lang w:val="en-US"/>
        </w:rPr>
        <w:t>fee and tax</w:t>
      </w:r>
      <w:r w:rsidRPr="00007DB3">
        <w:rPr>
          <w:rFonts w:ascii="Times New Roman" w:eastAsia="Times New Roman" w:hAnsi="Times New Roman" w:cs="Times New Roman"/>
          <w:color w:val="000000"/>
          <w:sz w:val="24"/>
          <w:szCs w:val="24"/>
          <w:lang w:val="en-US"/>
        </w:rPr>
        <w:t xml:space="preserve"> disparities equitably. Further investigation will be needed from the taskforce to adjust the </w:t>
      </w:r>
      <w:r w:rsidR="009155E0">
        <w:rPr>
          <w:rFonts w:ascii="Times New Roman" w:eastAsia="Times New Roman" w:hAnsi="Times New Roman" w:cs="Times New Roman"/>
          <w:color w:val="000000"/>
          <w:sz w:val="24"/>
          <w:szCs w:val="24"/>
          <w:lang w:val="en-US"/>
        </w:rPr>
        <w:t>cost-of-living</w:t>
      </w:r>
      <w:r w:rsidRPr="00007DB3">
        <w:rPr>
          <w:rFonts w:ascii="Times New Roman" w:eastAsia="Times New Roman" w:hAnsi="Times New Roman" w:cs="Times New Roman"/>
          <w:color w:val="000000"/>
          <w:sz w:val="24"/>
          <w:szCs w:val="24"/>
          <w:lang w:val="en-US"/>
        </w:rPr>
        <w:t xml:space="preserve"> for the increased financial burden placed on the international graduate community. </w:t>
      </w:r>
      <w:r w:rsidR="009155E0">
        <w:rPr>
          <w:rFonts w:ascii="Times New Roman" w:eastAsia="Times New Roman" w:hAnsi="Times New Roman" w:cs="Times New Roman"/>
          <w:color w:val="000000"/>
          <w:sz w:val="24"/>
          <w:szCs w:val="24"/>
          <w:lang w:val="en-US"/>
        </w:rPr>
        <w:t>T</w:t>
      </w:r>
      <w:r w:rsidRPr="00007DB3">
        <w:rPr>
          <w:rFonts w:ascii="Times New Roman" w:eastAsia="Times New Roman" w:hAnsi="Times New Roman" w:cs="Times New Roman"/>
          <w:color w:val="000000"/>
          <w:sz w:val="24"/>
          <w:szCs w:val="24"/>
          <w:lang w:val="en-US"/>
        </w:rPr>
        <w:t xml:space="preserve">herefore, the total base compensation for </w:t>
      </w:r>
      <w:r w:rsidR="00AA1F1C">
        <w:rPr>
          <w:rFonts w:ascii="Times New Roman" w:eastAsia="Times New Roman" w:hAnsi="Times New Roman" w:cs="Times New Roman"/>
          <w:color w:val="000000"/>
          <w:sz w:val="24"/>
          <w:szCs w:val="24"/>
          <w:lang w:val="en-US"/>
        </w:rPr>
        <w:t>g</w:t>
      </w:r>
      <w:r w:rsidR="00AA1F1C" w:rsidRPr="00007DB3">
        <w:rPr>
          <w:rFonts w:ascii="Times New Roman" w:eastAsia="Times New Roman" w:hAnsi="Times New Roman" w:cs="Times New Roman"/>
          <w:color w:val="000000"/>
          <w:sz w:val="24"/>
          <w:szCs w:val="24"/>
          <w:lang w:val="en-US"/>
        </w:rPr>
        <w:t xml:space="preserve">raduate </w:t>
      </w:r>
      <w:r w:rsidRPr="00007DB3">
        <w:rPr>
          <w:rFonts w:ascii="Times New Roman" w:eastAsia="Times New Roman" w:hAnsi="Times New Roman" w:cs="Times New Roman"/>
          <w:color w:val="000000"/>
          <w:sz w:val="24"/>
          <w:szCs w:val="24"/>
          <w:lang w:val="en-US"/>
        </w:rPr>
        <w:t>students is estimated to be between $35,000 - $37,000 for students residing in the NRV area, and it is recommended to be further adjusted in consideration of changes in fees, inflation, and place of residence (Blacksburg, DC, NOVA).</w:t>
      </w:r>
    </w:p>
    <w:p w14:paraId="634F0C75" w14:textId="18F6BC9A" w:rsidR="00007DB3" w:rsidRPr="00007DB3" w:rsidRDefault="00007DB3" w:rsidP="00007DB3">
      <w:pPr>
        <w:spacing w:line="240" w:lineRule="auto"/>
        <w:rPr>
          <w:rFonts w:ascii="Times New Roman" w:eastAsia="Times New Roman" w:hAnsi="Times New Roman" w:cs="Times New Roman"/>
          <w:sz w:val="24"/>
          <w:szCs w:val="24"/>
          <w:lang w:val="en-US"/>
        </w:rPr>
      </w:pPr>
    </w:p>
    <w:p w14:paraId="6A9DD3C5" w14:textId="2195508B" w:rsidR="00007DB3" w:rsidRPr="00007DB3" w:rsidRDefault="00007DB3" w:rsidP="00007DB3">
      <w:pPr>
        <w:spacing w:line="240" w:lineRule="auto"/>
        <w:rPr>
          <w:rFonts w:ascii="Times New Roman" w:eastAsia="Times New Roman" w:hAnsi="Times New Roman" w:cs="Times New Roman"/>
          <w:sz w:val="24"/>
          <w:szCs w:val="24"/>
          <w:lang w:val="en-US"/>
        </w:rPr>
      </w:pPr>
      <w:r w:rsidRPr="00007DB3">
        <w:rPr>
          <w:rFonts w:ascii="Times New Roman" w:eastAsia="Times New Roman" w:hAnsi="Times New Roman" w:cs="Times New Roman"/>
          <w:b/>
          <w:bCs/>
          <w:color w:val="000000"/>
          <w:sz w:val="24"/>
          <w:szCs w:val="24"/>
          <w:lang w:val="en-US"/>
        </w:rPr>
        <w:t>Appendix 3:</w:t>
      </w:r>
      <w:r w:rsidR="009155E0" w:rsidRPr="00C86171">
        <w:rPr>
          <w:rFonts w:ascii="Times New Roman" w:eastAsia="Times New Roman" w:hAnsi="Times New Roman" w:cs="Times New Roman"/>
          <w:b/>
          <w:bCs/>
          <w:color w:val="000000"/>
          <w:sz w:val="24"/>
          <w:szCs w:val="24"/>
          <w:lang w:val="en-US"/>
        </w:rPr>
        <w:t xml:space="preserve"> Graduate Assistantship Support</w:t>
      </w:r>
      <w:r w:rsidRPr="00007DB3">
        <w:rPr>
          <w:rFonts w:ascii="Times New Roman" w:eastAsia="Times New Roman" w:hAnsi="Times New Roman" w:cs="Times New Roman"/>
          <w:b/>
          <w:bCs/>
          <w:color w:val="000000"/>
          <w:sz w:val="24"/>
          <w:szCs w:val="24"/>
          <w:lang w:val="en-US"/>
        </w:rPr>
        <w:t xml:space="preserve"> Task Force Charge</w:t>
      </w:r>
    </w:p>
    <w:p w14:paraId="43D222A7" w14:textId="77777777" w:rsidR="00007DB3" w:rsidRPr="00007DB3" w:rsidRDefault="00007DB3" w:rsidP="00007DB3">
      <w:pPr>
        <w:spacing w:line="240" w:lineRule="auto"/>
        <w:rPr>
          <w:rFonts w:ascii="Times New Roman" w:eastAsia="Times New Roman" w:hAnsi="Times New Roman" w:cs="Times New Roman"/>
          <w:sz w:val="24"/>
          <w:szCs w:val="24"/>
          <w:lang w:val="en-US"/>
        </w:rPr>
      </w:pPr>
    </w:p>
    <w:p w14:paraId="5DF5CD9C" w14:textId="77777777" w:rsidR="00A86909" w:rsidRDefault="00A86909" w:rsidP="00A86909">
      <w:pPr>
        <w:spacing w:before="240" w:after="240"/>
        <w:rPr>
          <w:rFonts w:ascii="Times New Roman" w:eastAsia="Times New Roman" w:hAnsi="Times New Roman" w:cs="Times New Roman"/>
          <w:b/>
          <w:sz w:val="24"/>
          <w:szCs w:val="24"/>
          <w:u w:val="single"/>
        </w:rPr>
      </w:pPr>
      <w:r w:rsidRPr="00A86909">
        <w:rPr>
          <w:rFonts w:ascii="Times New Roman" w:eastAsia="Times New Roman" w:hAnsi="Times New Roman" w:cs="Times New Roman"/>
          <w:sz w:val="24"/>
          <w:szCs w:val="24"/>
          <w:u w:val="single"/>
        </w:rPr>
        <w:t>The following is included for reference and accountability:</w:t>
      </w:r>
      <w:r>
        <w:rPr>
          <w:rFonts w:ascii="Times New Roman" w:eastAsia="Times New Roman" w:hAnsi="Times New Roman" w:cs="Times New Roman"/>
          <w:b/>
          <w:sz w:val="24"/>
          <w:szCs w:val="24"/>
          <w:u w:val="single"/>
        </w:rPr>
        <w:t xml:space="preserve"> </w:t>
      </w:r>
    </w:p>
    <w:p w14:paraId="105CBA8B" w14:textId="77777777" w:rsidR="00A86909" w:rsidRDefault="00A86909" w:rsidP="008F5B68">
      <w:pPr>
        <w:pStyle w:val="NormalWeb"/>
        <w:spacing w:before="0" w:beforeAutospacing="0" w:after="0" w:afterAutospacing="0"/>
        <w:rPr>
          <w:color w:val="000000"/>
        </w:rPr>
      </w:pPr>
    </w:p>
    <w:p w14:paraId="18FF3B20" w14:textId="0713742E" w:rsidR="008F5B68" w:rsidRPr="00C86171" w:rsidRDefault="008F5B68" w:rsidP="008F5B68">
      <w:pPr>
        <w:pStyle w:val="NormalWeb"/>
        <w:spacing w:before="0" w:beforeAutospacing="0" w:after="0" w:afterAutospacing="0"/>
      </w:pPr>
      <w:r w:rsidRPr="00C86171">
        <w:rPr>
          <w:color w:val="000000"/>
        </w:rPr>
        <w:t xml:space="preserve">The Report of the Graduate Education Task Force, released in </w:t>
      </w:r>
      <w:r w:rsidR="00C93399" w:rsidRPr="00C86171">
        <w:rPr>
          <w:color w:val="000000"/>
        </w:rPr>
        <w:t>November</w:t>
      </w:r>
      <w:r w:rsidRPr="00C86171">
        <w:rPr>
          <w:color w:val="000000"/>
        </w:rPr>
        <w:t xml:space="preserve"> 2020, made the following recommendations relating to Graduate Teaching and Research Assistantship Stipends:</w:t>
      </w:r>
    </w:p>
    <w:p w14:paraId="128BECFB" w14:textId="77777777" w:rsidR="008F5B68" w:rsidRPr="00C86171" w:rsidRDefault="008F5B68" w:rsidP="008F5B68">
      <w:pPr>
        <w:pStyle w:val="NormalWeb"/>
        <w:numPr>
          <w:ilvl w:val="0"/>
          <w:numId w:val="4"/>
        </w:numPr>
        <w:spacing w:before="0" w:beforeAutospacing="0" w:after="0" w:afterAutospacing="0"/>
        <w:textAlignment w:val="baseline"/>
        <w:rPr>
          <w:color w:val="000000"/>
          <w:sz w:val="22"/>
          <w:szCs w:val="22"/>
        </w:rPr>
      </w:pPr>
      <w:r w:rsidRPr="00C86171">
        <w:rPr>
          <w:color w:val="000000"/>
        </w:rPr>
        <w:t>Increase the minimum assistantship stipend rate to match the minimum rates of Virginia Tech’s aspirational peers (i.e., the top 14 United States land-grant universities in the 2020 Times Higher Education (THE) World University Rankings).</w:t>
      </w:r>
    </w:p>
    <w:p w14:paraId="1D0F0F0F" w14:textId="77777777" w:rsidR="008F5B68" w:rsidRPr="00C86171" w:rsidRDefault="008F5B68" w:rsidP="008F5B68">
      <w:pPr>
        <w:pStyle w:val="NormalWeb"/>
        <w:numPr>
          <w:ilvl w:val="0"/>
          <w:numId w:val="4"/>
        </w:numPr>
        <w:spacing w:before="0" w:beforeAutospacing="0" w:after="0" w:afterAutospacing="0"/>
        <w:textAlignment w:val="baseline"/>
        <w:rPr>
          <w:color w:val="000000"/>
          <w:sz w:val="22"/>
          <w:szCs w:val="22"/>
        </w:rPr>
      </w:pPr>
      <w:r w:rsidRPr="00C86171">
        <w:rPr>
          <w:color w:val="000000"/>
        </w:rPr>
        <w:t>Annually compare graduate stipend rates to our peers at the discipline level, and create incentives for colleges to increase stipend rates, as appropriate, to be competitive (this could be incorporated into the dashboard used to measure department/program performance).</w:t>
      </w:r>
    </w:p>
    <w:p w14:paraId="65C17CED" w14:textId="77777777" w:rsidR="008F5B68" w:rsidRPr="00C86171" w:rsidRDefault="008F5B68" w:rsidP="008F5B68">
      <w:pPr>
        <w:pStyle w:val="NormalWeb"/>
        <w:numPr>
          <w:ilvl w:val="0"/>
          <w:numId w:val="4"/>
        </w:numPr>
        <w:spacing w:before="0" w:beforeAutospacing="0" w:after="0" w:afterAutospacing="0"/>
        <w:textAlignment w:val="baseline"/>
        <w:rPr>
          <w:color w:val="000000"/>
          <w:sz w:val="22"/>
          <w:szCs w:val="22"/>
        </w:rPr>
      </w:pPr>
      <w:r w:rsidRPr="00C86171">
        <w:rPr>
          <w:color w:val="000000"/>
        </w:rPr>
        <w:t xml:space="preserve">Graduate school should develop standard phrasing for use by departments to properly convey their intention to employ graduate students for multiple year periods, subject to </w:t>
      </w:r>
      <w:r w:rsidRPr="00C86171">
        <w:rPr>
          <w:color w:val="000000"/>
        </w:rPr>
        <w:lastRenderedPageBreak/>
        <w:t>reasonable constraints (academic progress, job performance, funding availability, need for position).</w:t>
      </w:r>
    </w:p>
    <w:p w14:paraId="31344421" w14:textId="77777777" w:rsidR="008F5B68" w:rsidRPr="00C86171" w:rsidRDefault="008F5B68" w:rsidP="00007DB3">
      <w:pPr>
        <w:spacing w:line="240" w:lineRule="auto"/>
        <w:rPr>
          <w:rFonts w:ascii="Times New Roman" w:eastAsia="Times New Roman" w:hAnsi="Times New Roman" w:cs="Times New Roman"/>
          <w:color w:val="000000"/>
          <w:sz w:val="24"/>
          <w:szCs w:val="24"/>
          <w:lang w:val="en-US"/>
        </w:rPr>
      </w:pPr>
    </w:p>
    <w:p w14:paraId="7A5BADA8" w14:textId="5CBF64A0" w:rsidR="008F5B68" w:rsidRPr="008F5B68" w:rsidRDefault="008F5B68" w:rsidP="008F5B68">
      <w:pPr>
        <w:spacing w:line="240" w:lineRule="auto"/>
        <w:rPr>
          <w:rFonts w:ascii="Times New Roman" w:eastAsia="Times New Roman" w:hAnsi="Times New Roman" w:cs="Times New Roman"/>
          <w:sz w:val="24"/>
          <w:szCs w:val="24"/>
          <w:lang w:val="en-US"/>
        </w:rPr>
      </w:pPr>
      <w:r w:rsidRPr="008F5B68">
        <w:rPr>
          <w:rFonts w:ascii="Times New Roman" w:eastAsia="Times New Roman" w:hAnsi="Times New Roman" w:cs="Times New Roman"/>
          <w:color w:val="000000"/>
          <w:sz w:val="24"/>
          <w:szCs w:val="24"/>
          <w:lang w:val="en-US"/>
        </w:rPr>
        <w:t>These recommendations underscore the importance of moving forward with a comprehensive analysis of graduate student financial support at Virginia Tech and formulation of a plan to advance the university’s ability to recruit and adequately support top research-</w:t>
      </w:r>
      <w:r w:rsidR="00AA1F1C">
        <w:rPr>
          <w:rFonts w:ascii="Times New Roman" w:eastAsia="Times New Roman" w:hAnsi="Times New Roman" w:cs="Times New Roman"/>
          <w:color w:val="000000"/>
          <w:sz w:val="24"/>
          <w:szCs w:val="24"/>
          <w:lang w:val="en-US"/>
        </w:rPr>
        <w:t>focused</w:t>
      </w:r>
      <w:r w:rsidR="00AA1F1C" w:rsidRPr="008F5B68">
        <w:rPr>
          <w:rFonts w:ascii="Times New Roman" w:eastAsia="Times New Roman" w:hAnsi="Times New Roman" w:cs="Times New Roman"/>
          <w:color w:val="000000"/>
          <w:sz w:val="24"/>
          <w:szCs w:val="24"/>
          <w:lang w:val="en-US"/>
        </w:rPr>
        <w:t xml:space="preserve"> </w:t>
      </w:r>
      <w:r w:rsidRPr="008F5B68">
        <w:rPr>
          <w:rFonts w:ascii="Times New Roman" w:eastAsia="Times New Roman" w:hAnsi="Times New Roman" w:cs="Times New Roman"/>
          <w:color w:val="000000"/>
          <w:sz w:val="24"/>
          <w:szCs w:val="24"/>
          <w:lang w:val="en-US"/>
        </w:rPr>
        <w:t>graduate students—particularly at the PhD level. Graduate students have expressed significant concerns that assistantships and benefits</w:t>
      </w:r>
      <w:r w:rsidRPr="00C86171">
        <w:rPr>
          <w:rFonts w:ascii="Times New Roman" w:eastAsia="Times New Roman" w:hAnsi="Times New Roman" w:cs="Times New Roman"/>
          <w:color w:val="000000"/>
          <w:sz w:val="24"/>
          <w:szCs w:val="24"/>
          <w:lang w:val="en-US"/>
        </w:rPr>
        <w:t xml:space="preserve"> are</w:t>
      </w:r>
      <w:r w:rsidRPr="008F5B68">
        <w:rPr>
          <w:rFonts w:ascii="Times New Roman" w:eastAsia="Times New Roman" w:hAnsi="Times New Roman" w:cs="Times New Roman"/>
          <w:color w:val="000000"/>
          <w:sz w:val="24"/>
          <w:szCs w:val="24"/>
          <w:lang w:val="en-US"/>
        </w:rPr>
        <w:t xml:space="preserve"> often inadequate to support them and their families without incurring significant debt, with consequent negative impacts on mental health and equity.</w:t>
      </w:r>
    </w:p>
    <w:p w14:paraId="2A21F8F9" w14:textId="77777777" w:rsidR="008F5B68" w:rsidRPr="008F5B68" w:rsidRDefault="008F5B68" w:rsidP="008F5B68">
      <w:pPr>
        <w:spacing w:line="240" w:lineRule="auto"/>
        <w:rPr>
          <w:rFonts w:ascii="Times New Roman" w:eastAsia="Times New Roman" w:hAnsi="Times New Roman" w:cs="Times New Roman"/>
          <w:sz w:val="24"/>
          <w:szCs w:val="24"/>
          <w:lang w:val="en-US"/>
        </w:rPr>
      </w:pPr>
    </w:p>
    <w:p w14:paraId="2D7B717B" w14:textId="457F3312" w:rsidR="00C22D2E" w:rsidRDefault="008F5B68" w:rsidP="00C22D2E">
      <w:pPr>
        <w:spacing w:before="240" w:after="240"/>
        <w:rPr>
          <w:rFonts w:ascii="Times New Roman" w:eastAsia="Times New Roman" w:hAnsi="Times New Roman" w:cs="Times New Roman"/>
          <w:sz w:val="24"/>
          <w:szCs w:val="24"/>
        </w:rPr>
      </w:pPr>
      <w:r w:rsidRPr="008F5B68">
        <w:rPr>
          <w:rFonts w:ascii="Times New Roman" w:eastAsia="Times New Roman" w:hAnsi="Times New Roman" w:cs="Times New Roman"/>
          <w:color w:val="000000"/>
          <w:sz w:val="24"/>
          <w:szCs w:val="24"/>
          <w:lang w:val="en-US"/>
        </w:rPr>
        <w:t>Recognizing that enhancing financial support of graduate students would involve reallocation of funding from other programmatic needs and that graduate students receive assistance from a variety of university and extramural sponsors and donors, the Provost and Dean of the Graduate School are appointing and charging a task force to review Virginia Tech’s research-based graduate education programs and draft recommendations for further enhancement.</w:t>
      </w:r>
      <w:r w:rsidR="004635F6" w:rsidRPr="00C86171">
        <w:rPr>
          <w:rFonts w:ascii="Times New Roman" w:eastAsia="Times New Roman" w:hAnsi="Times New Roman" w:cs="Times New Roman"/>
          <w:color w:val="000000"/>
          <w:sz w:val="24"/>
          <w:szCs w:val="24"/>
          <w:lang w:val="en-US"/>
        </w:rPr>
        <w:t xml:space="preserve"> This task force will operate through consensus-based decision making</w:t>
      </w:r>
      <w:r w:rsidR="00C22D2E">
        <w:rPr>
          <w:rFonts w:ascii="Times New Roman" w:eastAsia="Times New Roman" w:hAnsi="Times New Roman" w:cs="Times New Roman"/>
          <w:color w:val="000000"/>
          <w:sz w:val="24"/>
          <w:szCs w:val="24"/>
          <w:lang w:val="en-US"/>
        </w:rPr>
        <w:t>,</w:t>
      </w:r>
      <w:r w:rsidR="004635F6" w:rsidRPr="00C86171">
        <w:rPr>
          <w:rFonts w:ascii="Times New Roman" w:eastAsia="Times New Roman" w:hAnsi="Times New Roman" w:cs="Times New Roman"/>
          <w:color w:val="000000"/>
          <w:sz w:val="24"/>
          <w:szCs w:val="24"/>
          <w:lang w:val="en-US"/>
        </w:rPr>
        <w:t xml:space="preserve"> </w:t>
      </w:r>
      <w:r w:rsidR="00C22D2E" w:rsidRPr="00C22D2E">
        <w:rPr>
          <w:rFonts w:ascii="Times New Roman" w:eastAsia="Times New Roman" w:hAnsi="Times New Roman" w:cs="Times New Roman"/>
          <w:sz w:val="24"/>
          <w:szCs w:val="24"/>
        </w:rPr>
        <w:t>particularly the ‘Consensus-Minus-One’ model outlined in the</w:t>
      </w:r>
      <w:hyperlink r:id="rId23">
        <w:r w:rsidR="00C22D2E" w:rsidRPr="00C22D2E">
          <w:rPr>
            <w:rFonts w:ascii="Times New Roman" w:eastAsia="Times New Roman" w:hAnsi="Times New Roman" w:cs="Times New Roman"/>
            <w:color w:val="97173D"/>
            <w:sz w:val="24"/>
            <w:szCs w:val="24"/>
            <w:u w:val="single"/>
          </w:rPr>
          <w:t xml:space="preserve"> </w:t>
        </w:r>
      </w:hyperlink>
      <w:hyperlink r:id="rId24">
        <w:r w:rsidR="00C22D2E" w:rsidRPr="00C20AFD">
          <w:rPr>
            <w:rFonts w:ascii="Times New Roman" w:eastAsia="Times New Roman" w:hAnsi="Times New Roman" w:cs="Times New Roman"/>
            <w:color w:val="1155CC"/>
            <w:sz w:val="24"/>
            <w:szCs w:val="24"/>
            <w:highlight w:val="yellow"/>
            <w:u w:val="single"/>
          </w:rPr>
          <w:t xml:space="preserve">American Heart Association’s </w:t>
        </w:r>
      </w:hyperlink>
      <w:hyperlink r:id="rId25">
        <w:r w:rsidR="00C22D2E" w:rsidRPr="00C20AFD">
          <w:rPr>
            <w:rFonts w:ascii="Times New Roman" w:eastAsia="Times New Roman" w:hAnsi="Times New Roman" w:cs="Times New Roman"/>
            <w:i/>
            <w:color w:val="1155CC"/>
            <w:sz w:val="24"/>
            <w:szCs w:val="24"/>
            <w:highlight w:val="yellow"/>
            <w:u w:val="single"/>
          </w:rPr>
          <w:t>Mission Lifeline</w:t>
        </w:r>
      </w:hyperlink>
      <w:r w:rsidR="00C22D2E">
        <w:rPr>
          <w:rFonts w:ascii="Times New Roman" w:eastAsia="Times New Roman" w:hAnsi="Times New Roman" w:cs="Times New Roman"/>
          <w:i/>
          <w:color w:val="1155CC"/>
          <w:sz w:val="24"/>
          <w:szCs w:val="24"/>
          <w:u w:val="single"/>
        </w:rPr>
        <w:t xml:space="preserve"> </w:t>
      </w:r>
      <w:r w:rsidR="004635F6" w:rsidRPr="00C86171">
        <w:rPr>
          <w:rFonts w:ascii="Times New Roman" w:eastAsia="Times New Roman" w:hAnsi="Times New Roman" w:cs="Times New Roman"/>
          <w:color w:val="000000"/>
          <w:sz w:val="24"/>
          <w:szCs w:val="24"/>
          <w:lang w:val="en-US"/>
        </w:rPr>
        <w:t>to ensure that all voices are represented and heard equitably</w:t>
      </w:r>
      <w:r w:rsidR="00C22D2E" w:rsidRPr="00C22D2E">
        <w:rPr>
          <w:rFonts w:ascii="Times New Roman" w:eastAsia="Times New Roman" w:hAnsi="Times New Roman" w:cs="Times New Roman"/>
          <w:sz w:val="24"/>
          <w:szCs w:val="24"/>
        </w:rPr>
        <w:t xml:space="preserve"> and that conflicts are resolved productively.</w:t>
      </w:r>
    </w:p>
    <w:p w14:paraId="74593482" w14:textId="73BD3D8B" w:rsidR="008F5B68" w:rsidRPr="008F5B68" w:rsidRDefault="004635F6" w:rsidP="008F5B68">
      <w:pPr>
        <w:spacing w:line="240" w:lineRule="auto"/>
        <w:rPr>
          <w:rFonts w:ascii="Times New Roman" w:eastAsia="Times New Roman" w:hAnsi="Times New Roman" w:cs="Times New Roman"/>
          <w:sz w:val="24"/>
          <w:szCs w:val="24"/>
          <w:lang w:val="en-US"/>
        </w:rPr>
      </w:pPr>
      <w:r w:rsidRPr="00C86171">
        <w:rPr>
          <w:rFonts w:ascii="Times New Roman" w:eastAsia="Times New Roman" w:hAnsi="Times New Roman" w:cs="Times New Roman"/>
          <w:color w:val="000000"/>
          <w:sz w:val="24"/>
          <w:szCs w:val="24"/>
          <w:lang w:val="en-US"/>
        </w:rPr>
        <w:t xml:space="preserve">. </w:t>
      </w:r>
    </w:p>
    <w:p w14:paraId="1D404714" w14:textId="77777777" w:rsidR="008F5B68" w:rsidRPr="008F5B68" w:rsidRDefault="008F5B68" w:rsidP="008F5B68">
      <w:pPr>
        <w:spacing w:line="240" w:lineRule="auto"/>
        <w:rPr>
          <w:rFonts w:ascii="Times New Roman" w:eastAsia="Times New Roman" w:hAnsi="Times New Roman" w:cs="Times New Roman"/>
          <w:sz w:val="24"/>
          <w:szCs w:val="24"/>
          <w:lang w:val="en-US"/>
        </w:rPr>
      </w:pPr>
    </w:p>
    <w:p w14:paraId="7ED85F47" w14:textId="2E2E7D4C" w:rsidR="00C86171" w:rsidRDefault="008F5B68" w:rsidP="008F5B68">
      <w:pPr>
        <w:spacing w:line="240" w:lineRule="auto"/>
        <w:rPr>
          <w:rFonts w:ascii="Times New Roman" w:eastAsia="Times New Roman" w:hAnsi="Times New Roman" w:cs="Times New Roman"/>
          <w:color w:val="000000"/>
          <w:sz w:val="24"/>
          <w:szCs w:val="24"/>
          <w:lang w:val="en-US"/>
        </w:rPr>
      </w:pPr>
      <w:r w:rsidRPr="008F5B68">
        <w:rPr>
          <w:rFonts w:ascii="Times New Roman" w:eastAsia="Times New Roman" w:hAnsi="Times New Roman" w:cs="Times New Roman"/>
          <w:color w:val="000000"/>
          <w:sz w:val="24"/>
          <w:szCs w:val="24"/>
          <w:lang w:val="en-US"/>
        </w:rPr>
        <w:t xml:space="preserve">The Task Force will be chaired by a senior administrator in an academic college who has direct oversight of graduate </w:t>
      </w:r>
      <w:r w:rsidRPr="00C86171">
        <w:rPr>
          <w:rFonts w:ascii="Times New Roman" w:eastAsia="Times New Roman" w:hAnsi="Times New Roman" w:cs="Times New Roman"/>
          <w:color w:val="000000"/>
          <w:sz w:val="24"/>
          <w:szCs w:val="24"/>
          <w:lang w:val="en-US"/>
        </w:rPr>
        <w:t>education,</w:t>
      </w:r>
      <w:r w:rsidRPr="008F5B68">
        <w:rPr>
          <w:rFonts w:ascii="Times New Roman" w:eastAsia="Times New Roman" w:hAnsi="Times New Roman" w:cs="Times New Roman"/>
          <w:color w:val="000000"/>
          <w:sz w:val="24"/>
          <w:szCs w:val="24"/>
          <w:lang w:val="en-US"/>
        </w:rPr>
        <w:t xml:space="preserve"> and its membership will include the following content experts, student and faculty representatives:</w:t>
      </w:r>
    </w:p>
    <w:p w14:paraId="48898CBF" w14:textId="77777777" w:rsidR="00C86171" w:rsidRPr="008F5B68" w:rsidRDefault="00C86171" w:rsidP="008F5B68">
      <w:pPr>
        <w:spacing w:line="240" w:lineRule="auto"/>
        <w:rPr>
          <w:rFonts w:ascii="Times New Roman" w:eastAsia="Times New Roman" w:hAnsi="Times New Roman" w:cs="Times New Roman"/>
          <w:color w:val="000000"/>
          <w:sz w:val="24"/>
          <w:szCs w:val="24"/>
          <w:lang w:val="en-US"/>
        </w:rPr>
      </w:pPr>
    </w:p>
    <w:p w14:paraId="6B06155C" w14:textId="42A933A4" w:rsidR="008F5B68" w:rsidRPr="00C86171"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 xml:space="preserve">A representative from </w:t>
      </w:r>
      <w:r w:rsidR="008F5B68" w:rsidRPr="00C86171">
        <w:rPr>
          <w:color w:val="000000"/>
        </w:rPr>
        <w:t>Graduate School leadership</w:t>
      </w:r>
    </w:p>
    <w:p w14:paraId="636E6CB8" w14:textId="2AE3F60F" w:rsidR="008F5B68" w:rsidRPr="00C86171" w:rsidRDefault="004635F6" w:rsidP="008F5B68">
      <w:pPr>
        <w:pStyle w:val="NormalWeb"/>
        <w:numPr>
          <w:ilvl w:val="0"/>
          <w:numId w:val="5"/>
        </w:numPr>
        <w:spacing w:before="0" w:beforeAutospacing="0" w:after="0" w:afterAutospacing="0"/>
        <w:textAlignment w:val="baseline"/>
        <w:rPr>
          <w:color w:val="000000"/>
        </w:rPr>
      </w:pPr>
      <w:r w:rsidRPr="00C86171">
        <w:rPr>
          <w:color w:val="000000"/>
        </w:rPr>
        <w:t>2</w:t>
      </w:r>
      <w:r w:rsidR="008F5B68" w:rsidRPr="00C86171">
        <w:rPr>
          <w:color w:val="000000"/>
        </w:rPr>
        <w:t xml:space="preserve"> </w:t>
      </w:r>
      <w:r w:rsidR="00C22D2E">
        <w:rPr>
          <w:color w:val="000000"/>
        </w:rPr>
        <w:t>college dean’s office representatives, one from humanities/social sciences and one from sciences/engineering</w:t>
      </w:r>
      <w:r w:rsidR="008F5B68" w:rsidRPr="00C86171">
        <w:rPr>
          <w:color w:val="000000"/>
        </w:rPr>
        <w:t xml:space="preserve"> </w:t>
      </w:r>
    </w:p>
    <w:p w14:paraId="1E4DCA41" w14:textId="13532111" w:rsidR="008F5B68" w:rsidRPr="00C86171"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 xml:space="preserve">A </w:t>
      </w:r>
      <w:r w:rsidR="00C22D2E">
        <w:rPr>
          <w:color w:val="000000"/>
        </w:rPr>
        <w:t>b</w:t>
      </w:r>
      <w:r w:rsidR="008F5B68" w:rsidRPr="00C86171">
        <w:rPr>
          <w:color w:val="000000"/>
        </w:rPr>
        <w:t>udget and finance</w:t>
      </w:r>
      <w:r w:rsidRPr="00C86171">
        <w:rPr>
          <w:color w:val="000000"/>
        </w:rPr>
        <w:t xml:space="preserve"> representative</w:t>
      </w:r>
    </w:p>
    <w:p w14:paraId="1B4399DC" w14:textId="5402ABB9" w:rsidR="008F5B68" w:rsidRPr="00C86171"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 xml:space="preserve">A representative from </w:t>
      </w:r>
      <w:r w:rsidR="008F5B68" w:rsidRPr="00C86171">
        <w:rPr>
          <w:color w:val="000000"/>
        </w:rPr>
        <w:t xml:space="preserve">OSP </w:t>
      </w:r>
      <w:r w:rsidR="004635F6" w:rsidRPr="00C86171">
        <w:rPr>
          <w:color w:val="000000"/>
        </w:rPr>
        <w:t xml:space="preserve">or </w:t>
      </w:r>
      <w:r w:rsidR="008F5B68" w:rsidRPr="00C86171">
        <w:rPr>
          <w:color w:val="000000"/>
        </w:rPr>
        <w:t>OVPRI </w:t>
      </w:r>
    </w:p>
    <w:p w14:paraId="0B7253E2" w14:textId="037C2159" w:rsidR="008F5B68"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 xml:space="preserve">A representative from </w:t>
      </w:r>
      <w:r w:rsidR="008F5B68" w:rsidRPr="00C86171">
        <w:rPr>
          <w:color w:val="000000"/>
        </w:rPr>
        <w:t>Cranwell International Student services</w:t>
      </w:r>
    </w:p>
    <w:p w14:paraId="4C17F43A" w14:textId="7DCFC75D" w:rsidR="00393978" w:rsidRPr="00C86171" w:rsidRDefault="00393978" w:rsidP="008F5B68">
      <w:pPr>
        <w:pStyle w:val="NormalWeb"/>
        <w:numPr>
          <w:ilvl w:val="0"/>
          <w:numId w:val="5"/>
        </w:numPr>
        <w:spacing w:before="0" w:beforeAutospacing="0" w:after="0" w:afterAutospacing="0"/>
        <w:textAlignment w:val="baseline"/>
        <w:rPr>
          <w:color w:val="000000"/>
        </w:rPr>
      </w:pPr>
      <w:r>
        <w:rPr>
          <w:color w:val="000000"/>
        </w:rPr>
        <w:t>A representative from the Department Heads Council</w:t>
      </w:r>
    </w:p>
    <w:p w14:paraId="3C08B91A" w14:textId="3CAFF875" w:rsidR="008F5B68" w:rsidRPr="00C86171"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 xml:space="preserve">The </w:t>
      </w:r>
      <w:r w:rsidR="008F5B68" w:rsidRPr="00C86171">
        <w:rPr>
          <w:color w:val="000000"/>
        </w:rPr>
        <w:t>GPSS President</w:t>
      </w:r>
    </w:p>
    <w:p w14:paraId="35B1F688" w14:textId="1A33D035" w:rsidR="008F5B68" w:rsidRPr="00C86171"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 xml:space="preserve">The </w:t>
      </w:r>
      <w:r w:rsidR="00393978">
        <w:rPr>
          <w:color w:val="000000"/>
        </w:rPr>
        <w:t>BOV</w:t>
      </w:r>
      <w:r w:rsidR="00393978" w:rsidRPr="00C86171">
        <w:rPr>
          <w:color w:val="000000"/>
        </w:rPr>
        <w:t xml:space="preserve"> </w:t>
      </w:r>
      <w:r w:rsidR="008F5B68" w:rsidRPr="00C86171">
        <w:rPr>
          <w:color w:val="000000"/>
        </w:rPr>
        <w:t>graduate representative</w:t>
      </w:r>
    </w:p>
    <w:p w14:paraId="074BA251" w14:textId="50C744D7" w:rsidR="008F5B68" w:rsidRDefault="00847004" w:rsidP="008F5B68">
      <w:pPr>
        <w:pStyle w:val="NormalWeb"/>
        <w:numPr>
          <w:ilvl w:val="0"/>
          <w:numId w:val="5"/>
        </w:numPr>
        <w:spacing w:before="0" w:beforeAutospacing="0" w:after="0" w:afterAutospacing="0"/>
        <w:textAlignment w:val="baseline"/>
        <w:rPr>
          <w:color w:val="000000"/>
        </w:rPr>
      </w:pPr>
      <w:r w:rsidRPr="00C86171">
        <w:rPr>
          <w:color w:val="000000"/>
        </w:rPr>
        <w:t>8</w:t>
      </w:r>
      <w:r w:rsidR="008F5B68" w:rsidRPr="00C86171">
        <w:rPr>
          <w:color w:val="000000"/>
        </w:rPr>
        <w:t xml:space="preserve"> graduate student</w:t>
      </w:r>
      <w:r w:rsidR="00393978">
        <w:rPr>
          <w:color w:val="000000"/>
        </w:rPr>
        <w:t>s</w:t>
      </w:r>
      <w:r w:rsidR="008F5B68" w:rsidRPr="00C86171">
        <w:rPr>
          <w:color w:val="000000"/>
        </w:rPr>
        <w:t xml:space="preserve"> </w:t>
      </w:r>
      <w:r w:rsidR="00393978">
        <w:rPr>
          <w:color w:val="000000"/>
        </w:rPr>
        <w:t>nominated by the GPSS</w:t>
      </w:r>
      <w:r w:rsidR="00393978" w:rsidRPr="00C86171">
        <w:rPr>
          <w:color w:val="000000"/>
        </w:rPr>
        <w:t xml:space="preserve"> </w:t>
      </w:r>
      <w:r w:rsidR="008F5B68" w:rsidRPr="00C86171">
        <w:rPr>
          <w:color w:val="000000"/>
        </w:rPr>
        <w:t xml:space="preserve">from at least 3 colleges and at least 2 different residency statuses </w:t>
      </w:r>
      <w:r w:rsidRPr="00C86171">
        <w:rPr>
          <w:color w:val="000000"/>
        </w:rPr>
        <w:t xml:space="preserve">who will represent </w:t>
      </w:r>
      <w:r w:rsidR="008F5B68" w:rsidRPr="00C86171">
        <w:rPr>
          <w:color w:val="000000"/>
        </w:rPr>
        <w:t>a wide variety of disciplines</w:t>
      </w:r>
      <w:r w:rsidRPr="00C86171">
        <w:rPr>
          <w:color w:val="000000"/>
        </w:rPr>
        <w:t xml:space="preserve"> and relevant experiences,</w:t>
      </w:r>
      <w:r w:rsidR="008F5B68" w:rsidRPr="00C86171">
        <w:rPr>
          <w:color w:val="000000"/>
        </w:rPr>
        <w:t xml:space="preserve"> from which </w:t>
      </w:r>
      <w:r w:rsidR="004635F6" w:rsidRPr="006A749F">
        <w:rPr>
          <w:b/>
          <w:bCs/>
          <w:color w:val="000000"/>
        </w:rPr>
        <w:t>5</w:t>
      </w:r>
      <w:r w:rsidR="008F5B68" w:rsidRPr="006A749F">
        <w:rPr>
          <w:b/>
          <w:bCs/>
          <w:color w:val="000000"/>
        </w:rPr>
        <w:t xml:space="preserve"> members are selected</w:t>
      </w:r>
      <w:r w:rsidR="004635F6" w:rsidRPr="00C86171">
        <w:rPr>
          <w:color w:val="000000"/>
        </w:rPr>
        <w:t xml:space="preserve"> by the chair in collaboration with the GPSS president.</w:t>
      </w:r>
    </w:p>
    <w:p w14:paraId="6BEFE919" w14:textId="48ECB348" w:rsidR="00393978" w:rsidRPr="00C86171" w:rsidRDefault="00393978" w:rsidP="00393978">
      <w:pPr>
        <w:pStyle w:val="NormalWeb"/>
        <w:numPr>
          <w:ilvl w:val="0"/>
          <w:numId w:val="5"/>
        </w:numPr>
        <w:spacing w:before="0" w:beforeAutospacing="0" w:after="0" w:afterAutospacing="0"/>
        <w:textAlignment w:val="baseline"/>
        <w:rPr>
          <w:color w:val="000000"/>
        </w:rPr>
      </w:pPr>
      <w:r>
        <w:rPr>
          <w:color w:val="000000"/>
        </w:rPr>
        <w:t xml:space="preserve">4 faculty members nominated by the </w:t>
      </w:r>
      <w:r w:rsidRPr="00C86171">
        <w:rPr>
          <w:color w:val="000000"/>
        </w:rPr>
        <w:t xml:space="preserve">Faculty Senate </w:t>
      </w:r>
      <w:r>
        <w:rPr>
          <w:color w:val="000000"/>
        </w:rPr>
        <w:t xml:space="preserve">from both </w:t>
      </w:r>
      <w:r w:rsidRPr="00C86171">
        <w:rPr>
          <w:color w:val="000000"/>
        </w:rPr>
        <w:t>humanities/social sciences and sciences</w:t>
      </w:r>
      <w:r>
        <w:rPr>
          <w:color w:val="000000"/>
        </w:rPr>
        <w:t xml:space="preserve">/engineering, from which </w:t>
      </w:r>
      <w:r w:rsidRPr="006A749F">
        <w:rPr>
          <w:b/>
          <w:bCs/>
          <w:color w:val="000000"/>
        </w:rPr>
        <w:t>2 members are selected</w:t>
      </w:r>
      <w:r>
        <w:rPr>
          <w:color w:val="000000"/>
        </w:rPr>
        <w:t xml:space="preserve"> from their respective disciplinary areas by the chair in collaboration with the Faculty Senate President.</w:t>
      </w:r>
      <w:r w:rsidRPr="00C86171">
        <w:rPr>
          <w:color w:val="000000"/>
        </w:rPr>
        <w:t xml:space="preserve"> .</w:t>
      </w:r>
    </w:p>
    <w:p w14:paraId="2BA1A3A3" w14:textId="77777777" w:rsidR="00393978" w:rsidRPr="00C86171" w:rsidRDefault="00393978" w:rsidP="008F5B68">
      <w:pPr>
        <w:pStyle w:val="NormalWeb"/>
        <w:numPr>
          <w:ilvl w:val="0"/>
          <w:numId w:val="5"/>
        </w:numPr>
        <w:spacing w:before="0" w:beforeAutospacing="0" w:after="0" w:afterAutospacing="0"/>
        <w:textAlignment w:val="baseline"/>
        <w:rPr>
          <w:color w:val="000000"/>
        </w:rPr>
      </w:pPr>
    </w:p>
    <w:p w14:paraId="04CFAA0F" w14:textId="4B2CAF35" w:rsidR="008F5B68" w:rsidRPr="00C86171" w:rsidRDefault="008F5B68" w:rsidP="00007DB3">
      <w:pPr>
        <w:spacing w:line="240" w:lineRule="auto"/>
        <w:rPr>
          <w:rFonts w:ascii="Times New Roman" w:eastAsia="Times New Roman" w:hAnsi="Times New Roman" w:cs="Times New Roman"/>
          <w:color w:val="000000"/>
          <w:sz w:val="24"/>
          <w:szCs w:val="24"/>
          <w:lang w:val="en-US"/>
        </w:rPr>
      </w:pPr>
    </w:p>
    <w:p w14:paraId="0BE2709D" w14:textId="5FE967CE" w:rsidR="004635F6" w:rsidRDefault="004635F6" w:rsidP="004635F6">
      <w:pPr>
        <w:spacing w:line="240" w:lineRule="auto"/>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t>The task force will be charged as follows:</w:t>
      </w:r>
    </w:p>
    <w:p w14:paraId="184043AC" w14:textId="77777777" w:rsidR="00C86171" w:rsidRPr="004635F6" w:rsidRDefault="00C86171" w:rsidP="004635F6">
      <w:pPr>
        <w:spacing w:line="240" w:lineRule="auto"/>
        <w:rPr>
          <w:rFonts w:ascii="Times New Roman" w:eastAsia="Times New Roman" w:hAnsi="Times New Roman" w:cs="Times New Roman"/>
          <w:sz w:val="24"/>
          <w:szCs w:val="24"/>
          <w:lang w:val="en-US"/>
        </w:rPr>
      </w:pPr>
    </w:p>
    <w:p w14:paraId="6BCF3932" w14:textId="77777777" w:rsidR="004635F6" w:rsidRPr="004635F6" w:rsidRDefault="004635F6" w:rsidP="004635F6">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lastRenderedPageBreak/>
        <w:t>Review the analysis and findings contained in the 2020 Report of the Graduate Education Task Force and update as necessary.</w:t>
      </w:r>
    </w:p>
    <w:p w14:paraId="242F2450" w14:textId="60E28FC6" w:rsidR="004635F6" w:rsidRPr="004635F6" w:rsidRDefault="004635F6" w:rsidP="004635F6">
      <w:pPr>
        <w:numPr>
          <w:ilvl w:val="0"/>
          <w:numId w:val="7"/>
        </w:numPr>
        <w:spacing w:line="240" w:lineRule="auto"/>
        <w:textAlignment w:val="baseline"/>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t xml:space="preserve">Draft a report and recommendations for providing assistantship stipends and other financial support sufficient to cover </w:t>
      </w:r>
      <w:r w:rsidR="00847004" w:rsidRPr="00C86171">
        <w:rPr>
          <w:rFonts w:ascii="Times New Roman" w:eastAsia="Times New Roman" w:hAnsi="Times New Roman" w:cs="Times New Roman"/>
          <w:color w:val="000000"/>
          <w:sz w:val="24"/>
          <w:szCs w:val="24"/>
          <w:lang w:val="en-US"/>
        </w:rPr>
        <w:t>cost-of-</w:t>
      </w:r>
      <w:r w:rsidRPr="004635F6">
        <w:rPr>
          <w:rFonts w:ascii="Times New Roman" w:eastAsia="Times New Roman" w:hAnsi="Times New Roman" w:cs="Times New Roman"/>
          <w:color w:val="000000"/>
          <w:sz w:val="24"/>
          <w:szCs w:val="24"/>
          <w:lang w:val="en-US"/>
        </w:rPr>
        <w:t>living and educational expenses and that minimizes educational debt.</w:t>
      </w:r>
      <w:r w:rsidRPr="00C86171">
        <w:rPr>
          <w:rFonts w:ascii="Times New Roman" w:eastAsia="Times New Roman" w:hAnsi="Times New Roman" w:cs="Times New Roman"/>
          <w:color w:val="000000"/>
          <w:sz w:val="24"/>
          <w:szCs w:val="24"/>
          <w:lang w:val="en-US"/>
        </w:rPr>
        <w:t xml:space="preserve"> This report will be submitted to the Provost and Dean of Graduate School before being </w:t>
      </w:r>
      <w:r w:rsidR="00AA1F1C">
        <w:rPr>
          <w:rFonts w:ascii="Times New Roman" w:eastAsia="Times New Roman" w:hAnsi="Times New Roman" w:cs="Times New Roman"/>
          <w:color w:val="000000"/>
          <w:sz w:val="24"/>
          <w:szCs w:val="24"/>
          <w:lang w:val="en-US"/>
        </w:rPr>
        <w:t>reviewed by</w:t>
      </w:r>
      <w:r w:rsidRPr="00C86171">
        <w:rPr>
          <w:rFonts w:ascii="Times New Roman" w:eastAsia="Times New Roman" w:hAnsi="Times New Roman" w:cs="Times New Roman"/>
          <w:color w:val="000000"/>
          <w:sz w:val="24"/>
          <w:szCs w:val="24"/>
          <w:lang w:val="en-US"/>
        </w:rPr>
        <w:t xml:space="preserve"> the Board of Visitors.</w:t>
      </w:r>
    </w:p>
    <w:p w14:paraId="3040CEC3" w14:textId="77777777" w:rsidR="004635F6" w:rsidRPr="004635F6" w:rsidRDefault="004635F6" w:rsidP="004635F6">
      <w:pPr>
        <w:numPr>
          <w:ilvl w:val="0"/>
          <w:numId w:val="8"/>
        </w:numPr>
        <w:spacing w:line="240" w:lineRule="auto"/>
        <w:textAlignment w:val="baseline"/>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t>The report and recommendations should address:</w:t>
      </w:r>
    </w:p>
    <w:p w14:paraId="4148E0F6" w14:textId="2C704AEE" w:rsidR="004635F6" w:rsidRPr="004635F6" w:rsidRDefault="00C86171"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004635F6" w:rsidRPr="004635F6">
        <w:rPr>
          <w:rFonts w:ascii="Times New Roman" w:eastAsia="Times New Roman" w:hAnsi="Times New Roman" w:cs="Times New Roman"/>
          <w:color w:val="000000"/>
          <w:sz w:val="24"/>
          <w:szCs w:val="24"/>
          <w:lang w:val="en-US"/>
        </w:rPr>
        <w:t>he cost of implementing any recommendations and proposals for phased implementation of a funding plan;</w:t>
      </w:r>
    </w:p>
    <w:p w14:paraId="23EB1A35" w14:textId="2EE317BE" w:rsidR="004635F6" w:rsidRPr="004635F6" w:rsidRDefault="00C86171"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w:t>
      </w:r>
      <w:r w:rsidR="004635F6" w:rsidRPr="004635F6">
        <w:rPr>
          <w:rFonts w:ascii="Times New Roman" w:eastAsia="Times New Roman" w:hAnsi="Times New Roman" w:cs="Times New Roman"/>
          <w:color w:val="000000"/>
          <w:sz w:val="24"/>
          <w:szCs w:val="24"/>
          <w:lang w:val="en-US"/>
        </w:rPr>
        <w:t>trategies for increasing extramural support for graduate students;</w:t>
      </w:r>
    </w:p>
    <w:p w14:paraId="0D5918C2" w14:textId="3AEA1CE0" w:rsidR="004635F6" w:rsidRPr="004635F6" w:rsidRDefault="00C86171"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w:t>
      </w:r>
      <w:r w:rsidR="004635F6" w:rsidRPr="004635F6">
        <w:rPr>
          <w:rFonts w:ascii="Times New Roman" w:eastAsia="Times New Roman" w:hAnsi="Times New Roman" w:cs="Times New Roman"/>
          <w:color w:val="000000"/>
          <w:sz w:val="24"/>
          <w:szCs w:val="24"/>
          <w:lang w:val="en-US"/>
        </w:rPr>
        <w:t>trategies for increasing philanthropic resources</w:t>
      </w:r>
      <w:r w:rsidR="004635F6" w:rsidRPr="00C86171">
        <w:rPr>
          <w:rFonts w:ascii="Times New Roman" w:eastAsia="Times New Roman" w:hAnsi="Times New Roman" w:cs="Times New Roman"/>
          <w:color w:val="000000"/>
          <w:sz w:val="24"/>
          <w:szCs w:val="24"/>
          <w:lang w:val="en-US"/>
        </w:rPr>
        <w:t xml:space="preserve"> and utilizing innovative budgeting strategies to reduce institutional costs</w:t>
      </w:r>
      <w:r w:rsidR="004635F6" w:rsidRPr="004635F6">
        <w:rPr>
          <w:rFonts w:ascii="Times New Roman" w:eastAsia="Times New Roman" w:hAnsi="Times New Roman" w:cs="Times New Roman"/>
          <w:color w:val="000000"/>
          <w:sz w:val="24"/>
          <w:szCs w:val="24"/>
          <w:lang w:val="en-US"/>
        </w:rPr>
        <w:t>;</w:t>
      </w:r>
    </w:p>
    <w:p w14:paraId="2E17721D" w14:textId="77777777" w:rsidR="004635F6" w:rsidRPr="004635F6" w:rsidRDefault="004635F6"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t>the manner in which equity could be addressed across different types of assistantships and funding sources;</w:t>
      </w:r>
    </w:p>
    <w:p w14:paraId="54819FBF" w14:textId="374B9800" w:rsidR="004635F6" w:rsidRPr="004635F6" w:rsidRDefault="004635F6"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t>the special circumstances relevant to international students, including actual cost of living and federal requirements that those on F and J</w:t>
      </w:r>
      <w:r w:rsidR="00600E3B">
        <w:rPr>
          <w:rFonts w:ascii="Times New Roman" w:eastAsia="Times New Roman" w:hAnsi="Times New Roman" w:cs="Times New Roman"/>
          <w:color w:val="000000"/>
          <w:sz w:val="24"/>
          <w:szCs w:val="24"/>
          <w:lang w:val="en-US"/>
        </w:rPr>
        <w:t xml:space="preserve"> visas</w:t>
      </w:r>
      <w:r w:rsidRPr="004635F6">
        <w:rPr>
          <w:rFonts w:ascii="Times New Roman" w:eastAsia="Times New Roman" w:hAnsi="Times New Roman" w:cs="Times New Roman"/>
          <w:color w:val="000000"/>
          <w:sz w:val="24"/>
          <w:szCs w:val="24"/>
          <w:lang w:val="en-US"/>
        </w:rPr>
        <w:t xml:space="preserve"> verify that they have funds available to pay for their education, living and other expenses; </w:t>
      </w:r>
    </w:p>
    <w:p w14:paraId="0BDA3ABB" w14:textId="448ED6E4" w:rsidR="004635F6" w:rsidRPr="004635F6" w:rsidRDefault="004635F6"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color w:val="000000"/>
          <w:sz w:val="24"/>
          <w:szCs w:val="24"/>
          <w:lang w:val="en-US"/>
        </w:rPr>
        <w:t>any potential impact of the funding plan on graduate student enrollment</w:t>
      </w:r>
      <w:r w:rsidR="00847004" w:rsidRPr="00C86171">
        <w:rPr>
          <w:rFonts w:ascii="Times New Roman" w:eastAsia="Times New Roman" w:hAnsi="Times New Roman" w:cs="Times New Roman"/>
          <w:color w:val="000000"/>
          <w:sz w:val="24"/>
          <w:szCs w:val="24"/>
          <w:lang w:val="en-US"/>
        </w:rPr>
        <w:t>; and</w:t>
      </w:r>
    </w:p>
    <w:p w14:paraId="4E0BD154" w14:textId="50E6C2B1" w:rsidR="004635F6" w:rsidRPr="004635F6" w:rsidRDefault="00AA1F1C" w:rsidP="00C86171">
      <w:pPr>
        <w:numPr>
          <w:ilvl w:val="1"/>
          <w:numId w:val="11"/>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004635F6" w:rsidRPr="004635F6">
        <w:rPr>
          <w:rFonts w:ascii="Times New Roman" w:eastAsia="Times New Roman" w:hAnsi="Times New Roman" w:cs="Times New Roman"/>
          <w:color w:val="000000"/>
          <w:sz w:val="24"/>
          <w:szCs w:val="24"/>
          <w:lang w:val="en-US"/>
        </w:rPr>
        <w:t xml:space="preserve"> process for the continued monitoring of how the cost of living for graduate students changes over time and maintaining an appropriate stipend amount.</w:t>
      </w:r>
    </w:p>
    <w:p w14:paraId="7EE0FADC" w14:textId="32F82F37" w:rsidR="004635F6" w:rsidRDefault="004635F6" w:rsidP="005D214A">
      <w:pPr>
        <w:spacing w:line="240" w:lineRule="auto"/>
        <w:rPr>
          <w:rFonts w:ascii="Times New Roman" w:eastAsia="Times New Roman" w:hAnsi="Times New Roman" w:cs="Times New Roman"/>
          <w:color w:val="000000"/>
          <w:sz w:val="24"/>
          <w:szCs w:val="24"/>
          <w:lang w:val="en-US"/>
        </w:rPr>
      </w:pPr>
      <w:r w:rsidRPr="004635F6">
        <w:rPr>
          <w:rFonts w:ascii="Times New Roman" w:eastAsia="Times New Roman" w:hAnsi="Times New Roman" w:cs="Times New Roman"/>
          <w:sz w:val="24"/>
          <w:szCs w:val="24"/>
          <w:lang w:val="en-US"/>
        </w:rPr>
        <w:br/>
      </w:r>
      <w:r w:rsidRPr="004635F6">
        <w:rPr>
          <w:rFonts w:ascii="Times New Roman" w:eastAsia="Times New Roman" w:hAnsi="Times New Roman" w:cs="Times New Roman"/>
          <w:color w:val="000000"/>
          <w:sz w:val="24"/>
          <w:szCs w:val="24"/>
          <w:lang w:val="en-US"/>
        </w:rPr>
        <w:t xml:space="preserve">A report with recommendations that represents a consensus among Task Force members shall be submitted to the </w:t>
      </w:r>
      <w:r w:rsidR="00AA1F1C">
        <w:rPr>
          <w:rFonts w:ascii="Times New Roman" w:eastAsia="Times New Roman" w:hAnsi="Times New Roman" w:cs="Times New Roman"/>
          <w:color w:val="000000"/>
          <w:sz w:val="24"/>
          <w:szCs w:val="24"/>
          <w:lang w:val="en-US"/>
        </w:rPr>
        <w:t>P</w:t>
      </w:r>
      <w:r w:rsidR="00AA1F1C" w:rsidRPr="004635F6">
        <w:rPr>
          <w:rFonts w:ascii="Times New Roman" w:eastAsia="Times New Roman" w:hAnsi="Times New Roman" w:cs="Times New Roman"/>
          <w:color w:val="000000"/>
          <w:sz w:val="24"/>
          <w:szCs w:val="24"/>
          <w:lang w:val="en-US"/>
        </w:rPr>
        <w:t xml:space="preserve">rovost </w:t>
      </w:r>
      <w:r w:rsidRPr="004635F6">
        <w:rPr>
          <w:rFonts w:ascii="Times New Roman" w:eastAsia="Times New Roman" w:hAnsi="Times New Roman" w:cs="Times New Roman"/>
          <w:color w:val="000000"/>
          <w:sz w:val="24"/>
          <w:szCs w:val="24"/>
          <w:lang w:val="en-US"/>
        </w:rPr>
        <w:t xml:space="preserve">and Dean of the Graduate School by </w:t>
      </w:r>
      <w:r w:rsidR="003C6013">
        <w:rPr>
          <w:rFonts w:ascii="Times New Roman" w:eastAsia="Times New Roman" w:hAnsi="Times New Roman" w:cs="Times New Roman"/>
          <w:color w:val="000000"/>
          <w:sz w:val="24"/>
          <w:szCs w:val="24"/>
          <w:lang w:val="en-US"/>
        </w:rPr>
        <w:t>December 31st</w:t>
      </w:r>
      <w:r w:rsidRPr="004635F6">
        <w:rPr>
          <w:rFonts w:ascii="Times New Roman" w:eastAsia="Times New Roman" w:hAnsi="Times New Roman" w:cs="Times New Roman"/>
          <w:color w:val="000000"/>
          <w:sz w:val="24"/>
          <w:szCs w:val="24"/>
          <w:lang w:val="en-US"/>
        </w:rPr>
        <w:t>, 2022. </w:t>
      </w:r>
    </w:p>
    <w:sectPr w:rsidR="004635F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4981" w14:textId="77777777" w:rsidR="00276FA8" w:rsidRDefault="00276FA8">
      <w:pPr>
        <w:spacing w:line="240" w:lineRule="auto"/>
      </w:pPr>
      <w:r>
        <w:separator/>
      </w:r>
    </w:p>
  </w:endnote>
  <w:endnote w:type="continuationSeparator" w:id="0">
    <w:p w14:paraId="7694C588" w14:textId="77777777" w:rsidR="00276FA8" w:rsidRDefault="00276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E83" w14:textId="77777777" w:rsidR="004170A6" w:rsidRDefault="00417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50E0" w14:textId="77777777" w:rsidR="004170A6" w:rsidRDefault="00417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BEF" w14:textId="77777777" w:rsidR="004170A6" w:rsidRDefault="0041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333A" w14:textId="77777777" w:rsidR="00276FA8" w:rsidRDefault="00276FA8">
      <w:pPr>
        <w:spacing w:line="240" w:lineRule="auto"/>
      </w:pPr>
      <w:r>
        <w:separator/>
      </w:r>
    </w:p>
  </w:footnote>
  <w:footnote w:type="continuationSeparator" w:id="0">
    <w:p w14:paraId="190D4CDE" w14:textId="77777777" w:rsidR="00276FA8" w:rsidRDefault="00276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D90F" w14:textId="77777777" w:rsidR="004170A6" w:rsidRDefault="00417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CA44" w14:textId="77777777" w:rsidR="004170A6" w:rsidRDefault="00417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DFE0" w14:textId="77777777" w:rsidR="004170A6" w:rsidRDefault="00417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456"/>
    <w:multiLevelType w:val="multilevel"/>
    <w:tmpl w:val="D6B2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3091"/>
    <w:multiLevelType w:val="multilevel"/>
    <w:tmpl w:val="EA88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3644F"/>
    <w:multiLevelType w:val="multilevel"/>
    <w:tmpl w:val="CE14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5842"/>
    <w:multiLevelType w:val="multilevel"/>
    <w:tmpl w:val="6E1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B5CF0"/>
    <w:multiLevelType w:val="multilevel"/>
    <w:tmpl w:val="65E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57FEA"/>
    <w:multiLevelType w:val="hybridMultilevel"/>
    <w:tmpl w:val="83CC8E0C"/>
    <w:lvl w:ilvl="0" w:tplc="04090003">
      <w:start w:val="1"/>
      <w:numFmt w:val="bullet"/>
      <w:lvlText w:val="o"/>
      <w:lvlJc w:val="left"/>
      <w:pPr>
        <w:ind w:left="1440" w:hanging="360"/>
      </w:pPr>
      <w:rPr>
        <w:rFonts w:ascii="Courier New" w:hAnsi="Courier New" w:cs="Courier New" w:hint="default"/>
      </w:rPr>
    </w:lvl>
    <w:lvl w:ilvl="1" w:tplc="84C4B13A">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620ED"/>
    <w:multiLevelType w:val="multilevel"/>
    <w:tmpl w:val="B65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F7A27"/>
    <w:multiLevelType w:val="multilevel"/>
    <w:tmpl w:val="F76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42171"/>
    <w:multiLevelType w:val="multilevel"/>
    <w:tmpl w:val="34F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1"/>
  </w:num>
  <w:num w:numId="5">
    <w:abstractNumId w:val="4"/>
  </w:num>
  <w:num w:numId="6">
    <w:abstractNumId w:val="8"/>
  </w:num>
  <w:num w:numId="7">
    <w:abstractNumId w:val="6"/>
  </w:num>
  <w:num w:numId="8">
    <w:abstractNumId w:val="2"/>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5A"/>
    <w:rsid w:val="00007DB3"/>
    <w:rsid w:val="001C5201"/>
    <w:rsid w:val="00243D97"/>
    <w:rsid w:val="00276FA8"/>
    <w:rsid w:val="002F4737"/>
    <w:rsid w:val="00393978"/>
    <w:rsid w:val="003C6013"/>
    <w:rsid w:val="00403D3E"/>
    <w:rsid w:val="004170A6"/>
    <w:rsid w:val="004635F6"/>
    <w:rsid w:val="004707CA"/>
    <w:rsid w:val="004916C0"/>
    <w:rsid w:val="00505ECC"/>
    <w:rsid w:val="005D214A"/>
    <w:rsid w:val="00600E3B"/>
    <w:rsid w:val="006A749F"/>
    <w:rsid w:val="006E2A0C"/>
    <w:rsid w:val="00744E7F"/>
    <w:rsid w:val="007B5B59"/>
    <w:rsid w:val="00847004"/>
    <w:rsid w:val="00860679"/>
    <w:rsid w:val="008D68FD"/>
    <w:rsid w:val="008F5B68"/>
    <w:rsid w:val="009155E0"/>
    <w:rsid w:val="00933D0E"/>
    <w:rsid w:val="009606B3"/>
    <w:rsid w:val="009B3568"/>
    <w:rsid w:val="009E2FA6"/>
    <w:rsid w:val="00A118FF"/>
    <w:rsid w:val="00A17A0A"/>
    <w:rsid w:val="00A67706"/>
    <w:rsid w:val="00A86909"/>
    <w:rsid w:val="00AA1F1C"/>
    <w:rsid w:val="00C22D2E"/>
    <w:rsid w:val="00C30F3A"/>
    <w:rsid w:val="00C64CBB"/>
    <w:rsid w:val="00C86171"/>
    <w:rsid w:val="00C93399"/>
    <w:rsid w:val="00CB5905"/>
    <w:rsid w:val="00D15C96"/>
    <w:rsid w:val="00D62DBA"/>
    <w:rsid w:val="00D6423F"/>
    <w:rsid w:val="00DC6CB1"/>
    <w:rsid w:val="00E51548"/>
    <w:rsid w:val="00E62767"/>
    <w:rsid w:val="00EA1193"/>
    <w:rsid w:val="00EA7C5A"/>
    <w:rsid w:val="00EB1A10"/>
    <w:rsid w:val="00F4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A605"/>
  <w15:docId w15:val="{A608FF48-1F20-4D92-A43D-A3462EA9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07CA"/>
    <w:pPr>
      <w:tabs>
        <w:tab w:val="center" w:pos="4680"/>
        <w:tab w:val="right" w:pos="9360"/>
      </w:tabs>
      <w:spacing w:line="240" w:lineRule="auto"/>
    </w:pPr>
  </w:style>
  <w:style w:type="character" w:customStyle="1" w:styleId="HeaderChar">
    <w:name w:val="Header Char"/>
    <w:basedOn w:val="DefaultParagraphFont"/>
    <w:link w:val="Header"/>
    <w:uiPriority w:val="99"/>
    <w:rsid w:val="004707CA"/>
  </w:style>
  <w:style w:type="paragraph" w:styleId="Footer">
    <w:name w:val="footer"/>
    <w:basedOn w:val="Normal"/>
    <w:link w:val="FooterChar"/>
    <w:uiPriority w:val="99"/>
    <w:unhideWhenUsed/>
    <w:rsid w:val="004707CA"/>
    <w:pPr>
      <w:tabs>
        <w:tab w:val="center" w:pos="4680"/>
        <w:tab w:val="right" w:pos="9360"/>
      </w:tabs>
      <w:spacing w:line="240" w:lineRule="auto"/>
    </w:pPr>
  </w:style>
  <w:style w:type="character" w:customStyle="1" w:styleId="FooterChar">
    <w:name w:val="Footer Char"/>
    <w:basedOn w:val="DefaultParagraphFont"/>
    <w:link w:val="Footer"/>
    <w:uiPriority w:val="99"/>
    <w:rsid w:val="004707CA"/>
  </w:style>
  <w:style w:type="paragraph" w:styleId="NormalWeb">
    <w:name w:val="Normal (Web)"/>
    <w:basedOn w:val="Normal"/>
    <w:uiPriority w:val="99"/>
    <w:semiHidden/>
    <w:unhideWhenUsed/>
    <w:rsid w:val="00EA1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007DB3"/>
  </w:style>
  <w:style w:type="character" w:styleId="Hyperlink">
    <w:name w:val="Hyperlink"/>
    <w:basedOn w:val="DefaultParagraphFont"/>
    <w:uiPriority w:val="99"/>
    <w:semiHidden/>
    <w:unhideWhenUsed/>
    <w:rsid w:val="00007DB3"/>
    <w:rPr>
      <w:color w:val="0000FF"/>
      <w:u w:val="single"/>
    </w:rPr>
  </w:style>
  <w:style w:type="paragraph" w:styleId="ListParagraph">
    <w:name w:val="List Paragraph"/>
    <w:basedOn w:val="Normal"/>
    <w:uiPriority w:val="34"/>
    <w:qFormat/>
    <w:rsid w:val="009155E0"/>
    <w:pPr>
      <w:ind w:left="720"/>
      <w:contextualSpacing/>
    </w:pPr>
  </w:style>
  <w:style w:type="paragraph" w:styleId="Revision">
    <w:name w:val="Revision"/>
    <w:hidden/>
    <w:uiPriority w:val="99"/>
    <w:semiHidden/>
    <w:rsid w:val="00D15C96"/>
    <w:pPr>
      <w:spacing w:line="240" w:lineRule="auto"/>
    </w:pPr>
  </w:style>
  <w:style w:type="character" w:styleId="CommentReference">
    <w:name w:val="annotation reference"/>
    <w:basedOn w:val="DefaultParagraphFont"/>
    <w:uiPriority w:val="99"/>
    <w:semiHidden/>
    <w:unhideWhenUsed/>
    <w:rsid w:val="006E2A0C"/>
    <w:rPr>
      <w:sz w:val="16"/>
      <w:szCs w:val="16"/>
    </w:rPr>
  </w:style>
  <w:style w:type="paragraph" w:styleId="CommentText">
    <w:name w:val="annotation text"/>
    <w:basedOn w:val="Normal"/>
    <w:link w:val="CommentTextChar"/>
    <w:uiPriority w:val="99"/>
    <w:semiHidden/>
    <w:unhideWhenUsed/>
    <w:rsid w:val="006E2A0C"/>
    <w:pPr>
      <w:spacing w:line="240" w:lineRule="auto"/>
    </w:pPr>
    <w:rPr>
      <w:sz w:val="20"/>
      <w:szCs w:val="20"/>
    </w:rPr>
  </w:style>
  <w:style w:type="character" w:customStyle="1" w:styleId="CommentTextChar">
    <w:name w:val="Comment Text Char"/>
    <w:basedOn w:val="DefaultParagraphFont"/>
    <w:link w:val="CommentText"/>
    <w:uiPriority w:val="99"/>
    <w:semiHidden/>
    <w:rsid w:val="006E2A0C"/>
    <w:rPr>
      <w:sz w:val="20"/>
      <w:szCs w:val="20"/>
    </w:rPr>
  </w:style>
  <w:style w:type="paragraph" w:styleId="CommentSubject">
    <w:name w:val="annotation subject"/>
    <w:basedOn w:val="CommentText"/>
    <w:next w:val="CommentText"/>
    <w:link w:val="CommentSubjectChar"/>
    <w:uiPriority w:val="99"/>
    <w:semiHidden/>
    <w:unhideWhenUsed/>
    <w:rsid w:val="006E2A0C"/>
    <w:rPr>
      <w:b/>
      <w:bCs/>
    </w:rPr>
  </w:style>
  <w:style w:type="character" w:customStyle="1" w:styleId="CommentSubjectChar">
    <w:name w:val="Comment Subject Char"/>
    <w:basedOn w:val="CommentTextChar"/>
    <w:link w:val="CommentSubject"/>
    <w:uiPriority w:val="99"/>
    <w:semiHidden/>
    <w:rsid w:val="006E2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5992">
      <w:bodyDiv w:val="1"/>
      <w:marLeft w:val="0"/>
      <w:marRight w:val="0"/>
      <w:marTop w:val="0"/>
      <w:marBottom w:val="0"/>
      <w:divBdr>
        <w:top w:val="none" w:sz="0" w:space="0" w:color="auto"/>
        <w:left w:val="none" w:sz="0" w:space="0" w:color="auto"/>
        <w:bottom w:val="none" w:sz="0" w:space="0" w:color="auto"/>
        <w:right w:val="none" w:sz="0" w:space="0" w:color="auto"/>
      </w:divBdr>
    </w:div>
    <w:div w:id="664750783">
      <w:bodyDiv w:val="1"/>
      <w:marLeft w:val="0"/>
      <w:marRight w:val="0"/>
      <w:marTop w:val="0"/>
      <w:marBottom w:val="0"/>
      <w:divBdr>
        <w:top w:val="none" w:sz="0" w:space="0" w:color="auto"/>
        <w:left w:val="none" w:sz="0" w:space="0" w:color="auto"/>
        <w:bottom w:val="none" w:sz="0" w:space="0" w:color="auto"/>
        <w:right w:val="none" w:sz="0" w:space="0" w:color="auto"/>
      </w:divBdr>
    </w:div>
    <w:div w:id="779375744">
      <w:bodyDiv w:val="1"/>
      <w:marLeft w:val="0"/>
      <w:marRight w:val="0"/>
      <w:marTop w:val="0"/>
      <w:marBottom w:val="0"/>
      <w:divBdr>
        <w:top w:val="none" w:sz="0" w:space="0" w:color="auto"/>
        <w:left w:val="none" w:sz="0" w:space="0" w:color="auto"/>
        <w:bottom w:val="none" w:sz="0" w:space="0" w:color="auto"/>
        <w:right w:val="none" w:sz="0" w:space="0" w:color="auto"/>
      </w:divBdr>
    </w:div>
    <w:div w:id="1348019109">
      <w:bodyDiv w:val="1"/>
      <w:marLeft w:val="0"/>
      <w:marRight w:val="0"/>
      <w:marTop w:val="0"/>
      <w:marBottom w:val="0"/>
      <w:divBdr>
        <w:top w:val="none" w:sz="0" w:space="0" w:color="auto"/>
        <w:left w:val="none" w:sz="0" w:space="0" w:color="auto"/>
        <w:bottom w:val="none" w:sz="0" w:space="0" w:color="auto"/>
        <w:right w:val="none" w:sz="0" w:space="0" w:color="auto"/>
      </w:divBdr>
    </w:div>
    <w:div w:id="1679234006">
      <w:bodyDiv w:val="1"/>
      <w:marLeft w:val="0"/>
      <w:marRight w:val="0"/>
      <w:marTop w:val="0"/>
      <w:marBottom w:val="0"/>
      <w:divBdr>
        <w:top w:val="none" w:sz="0" w:space="0" w:color="auto"/>
        <w:left w:val="none" w:sz="0" w:space="0" w:color="auto"/>
        <w:bottom w:val="none" w:sz="0" w:space="0" w:color="auto"/>
        <w:right w:val="none" w:sz="0" w:space="0" w:color="auto"/>
      </w:divBdr>
    </w:div>
    <w:div w:id="204521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tfoodaccesssecuritystudyreport20191030.pdf" TargetMode="External"/><Relationship Id="rId13" Type="http://schemas.openxmlformats.org/officeDocument/2006/relationships/hyperlink" Target="https://snaped.fns.usda.gov/sites/default/files/resourcefinder/VirginiaSNAP-EdFoodSecurityReport2021_508.pdf" TargetMode="External"/><Relationship Id="rId18" Type="http://schemas.openxmlformats.org/officeDocument/2006/relationships/hyperlink" Target="https://livingwage.mit.edu/metros/1398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inance.uw.edu/sfs/tax/nra" TargetMode="External"/><Relationship Id="rId7" Type="http://schemas.openxmlformats.org/officeDocument/2006/relationships/hyperlink" Target="https://gsa.vt.edu/advocacy/2020-2021-advocacy/2021-cost-of-living-survey-results.html" TargetMode="External"/><Relationship Id="rId12" Type="http://schemas.openxmlformats.org/officeDocument/2006/relationships/hyperlink" Target="https://snaped.fns.usda.gov/sites/default/files/resourcefinder/VirginiaSNAP-EdFoodSecurityReport2021_508.pdf." TargetMode="External"/><Relationship Id="rId17" Type="http://schemas.openxmlformats.org/officeDocument/2006/relationships/hyperlink" Target="https://engineering.tamu.edu/biomedical/admissions-and-aid/scholarships-aid/graduate-funding/index.html" TargetMode="External"/><Relationship Id="rId25" Type="http://schemas.openxmlformats.org/officeDocument/2006/relationships/hyperlink" Target="https://www.heart.org/idc/groups/heart-public/@wcm/@mwa/documents/downloadable/ucm_454080.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dschool.duke.edu/about/news/duke-makes-12-month-funding-commitment-phd-students" TargetMode="External"/><Relationship Id="rId20" Type="http://schemas.openxmlformats.org/officeDocument/2006/relationships/hyperlink" Target="http://philadelphiafed.org/surveys-and-data/real-time-data-research/spf-q3-2021&amp;sa=D&amp;source=docs&amp;ust=1637350955339000&amp;usg=AOvVaw1LLtFpuyjMyfavu2jrYzb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tfoodaccesssecuritystudyreport20191030.pdf" TargetMode="External"/><Relationship Id="rId24" Type="http://schemas.openxmlformats.org/officeDocument/2006/relationships/hyperlink" Target="https://www.heart.org/idc/groups/heart-public/@wcm/@mwa/documents/downloadable/ucm_454080.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uduser.gov/portal/periodicals/USHMC/reg//BlacksburgVA-HMP-May20.pdf" TargetMode="External"/><Relationship Id="rId23" Type="http://schemas.openxmlformats.org/officeDocument/2006/relationships/hyperlink" Target="https://www.heart.org/idc/groups/heart-public/@wcm/@mwa/documents/downloadable/ucm_454080.pdf" TargetMode="External"/><Relationship Id="rId28" Type="http://schemas.openxmlformats.org/officeDocument/2006/relationships/footer" Target="footer1.xml"/><Relationship Id="rId10" Type="http://schemas.openxmlformats.org/officeDocument/2006/relationships/hyperlink" Target="https://gsa.vt.edu/advocacy/2020-2021-advocacy/2021-cost-of-living-survey-results.html" TargetMode="External"/><Relationship Id="rId19" Type="http://schemas.openxmlformats.org/officeDocument/2006/relationships/hyperlink" Target="https://www.bls.gov/news.release/cpi.nr0.ht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duateschool.vt.edu/numbers/task-force-reports/2020-grad-ed-task-force-rept.html" TargetMode="External"/><Relationship Id="rId14" Type="http://schemas.openxmlformats.org/officeDocument/2006/relationships/hyperlink" Target="https://graduateschool.vt.edu/numbers/task-force-reports/2020-grad-ed-task-force-rept.html" TargetMode="External"/><Relationship Id="rId22" Type="http://schemas.openxmlformats.org/officeDocument/2006/relationships/hyperlink" Target="https://finance.uw.edu/sfs/tax/nr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Virginia Tech Graduate School</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Austin</dc:creator>
  <cp:lastModifiedBy>Burroughs, Amanda</cp:lastModifiedBy>
  <cp:revision>3</cp:revision>
  <dcterms:created xsi:type="dcterms:W3CDTF">2022-03-03T15:17:00Z</dcterms:created>
  <dcterms:modified xsi:type="dcterms:W3CDTF">2022-03-03T19:12:00Z</dcterms:modified>
</cp:coreProperties>
</file>